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1451"/>
        <w:gridCol w:w="267"/>
        <w:gridCol w:w="6929"/>
      </w:tblGrid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87159E" w:rsidRDefault="00F445B1" w:rsidP="0087159E">
            <w:pPr>
              <w:tabs>
                <w:tab w:val="left" w:pos="8647"/>
              </w:tabs>
              <w:ind w:left="426" w:right="1076" w:hanging="426"/>
              <w:rPr>
                <w:rStyle w:val="Firstpagetablebold"/>
                <w:rFonts w:cs="Arial"/>
                <w:color w:val="auto"/>
              </w:rPr>
            </w:pPr>
            <w:bookmarkStart w:id="0" w:name="_GoBack"/>
            <w:bookmarkEnd w:id="0"/>
            <w:r w:rsidRPr="0087159E">
              <w:rPr>
                <w:rStyle w:val="Firstpagetablebold"/>
                <w:rFonts w:cs="Arial"/>
                <w:color w:val="auto"/>
              </w:rPr>
              <w:t>To</w:t>
            </w:r>
            <w:r w:rsidR="005C35A5" w:rsidRPr="0087159E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AA3C4B" w:rsidP="00801432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>
              <w:rPr>
                <w:rStyle w:val="Firstpagetablebold"/>
                <w:rFonts w:cs="Arial"/>
                <w:color w:val="auto"/>
              </w:rPr>
              <w:t>Shareholder and Joint Venture Group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Dat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e: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0C04B4" w:rsidP="000C04B4">
            <w:pPr>
              <w:tabs>
                <w:tab w:val="left" w:pos="8647"/>
              </w:tabs>
              <w:ind w:right="1076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28 July</w:t>
            </w:r>
            <w:r w:rsidR="00CA78B8">
              <w:rPr>
                <w:rFonts w:cs="Arial"/>
                <w:b/>
                <w:color w:val="auto"/>
              </w:rPr>
              <w:t xml:space="preserve"> 2021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Report of</w:t>
            </w:r>
            <w:r w:rsidR="005C35A5" w:rsidRPr="00575235">
              <w:rPr>
                <w:rStyle w:val="Firstpagetablebold"/>
                <w:rFonts w:cs="Arial"/>
                <w:color w:val="auto"/>
              </w:rPr>
              <w:t>:</w:t>
            </w:r>
          </w:p>
        </w:tc>
        <w:tc>
          <w:tcPr>
            <w:tcW w:w="6929" w:type="dxa"/>
            <w:shd w:val="clear" w:color="auto" w:fill="auto"/>
          </w:tcPr>
          <w:p w:rsidR="00F445B1" w:rsidRPr="00575235" w:rsidRDefault="006D052F" w:rsidP="00CA78B8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>Jane Winfield</w:t>
            </w:r>
            <w:r w:rsidR="000947DC">
              <w:rPr>
                <w:rStyle w:val="Firstpagetablebold"/>
                <w:rFonts w:cs="Arial"/>
                <w:color w:val="auto"/>
              </w:rPr>
              <w:t xml:space="preserve">, </w:t>
            </w:r>
            <w:r w:rsidR="00CA78B8">
              <w:rPr>
                <w:rStyle w:val="Firstpagetablebold"/>
                <w:rFonts w:cs="Arial"/>
                <w:color w:val="auto"/>
              </w:rPr>
              <w:t xml:space="preserve">Corporate Property </w:t>
            </w:r>
            <w:r w:rsidR="000947DC">
              <w:rPr>
                <w:rStyle w:val="Firstpagetablebold"/>
                <w:rFonts w:cs="Arial"/>
                <w:color w:val="auto"/>
              </w:rPr>
              <w:t xml:space="preserve">Service </w:t>
            </w:r>
            <w:r w:rsidR="00D177AB">
              <w:rPr>
                <w:rStyle w:val="Firstpagetablebold"/>
                <w:rFonts w:cs="Arial"/>
                <w:color w:val="auto"/>
              </w:rPr>
              <w:t>Head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 </w:t>
            </w:r>
          </w:p>
        </w:tc>
      </w:tr>
      <w:tr w:rsidR="00C92729" w:rsidRPr="00575235" w:rsidTr="00801432">
        <w:tc>
          <w:tcPr>
            <w:tcW w:w="2569" w:type="dxa"/>
            <w:gridSpan w:val="4"/>
            <w:shd w:val="clear" w:color="auto" w:fill="auto"/>
          </w:tcPr>
          <w:p w:rsidR="00F445B1" w:rsidRPr="00575235" w:rsidRDefault="00F445B1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Title of Report: </w:t>
            </w:r>
          </w:p>
        </w:tc>
        <w:tc>
          <w:tcPr>
            <w:tcW w:w="6929" w:type="dxa"/>
            <w:shd w:val="clear" w:color="auto" w:fill="auto"/>
          </w:tcPr>
          <w:p w:rsidR="006D052F" w:rsidRPr="00575235" w:rsidRDefault="000947DC" w:rsidP="00203C5C">
            <w:pPr>
              <w:tabs>
                <w:tab w:val="left" w:pos="8647"/>
              </w:tabs>
              <w:spacing w:after="0"/>
              <w:ind w:right="1076"/>
              <w:rPr>
                <w:rStyle w:val="Firstpagetablebold"/>
                <w:rFonts w:cs="Arial"/>
                <w:color w:val="auto"/>
              </w:rPr>
            </w:pPr>
            <w:r>
              <w:rPr>
                <w:rStyle w:val="Firstpagetablebold"/>
                <w:rFonts w:cs="Arial"/>
                <w:color w:val="auto"/>
              </w:rPr>
              <w:t>Quarterly P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 xml:space="preserve">rogress </w:t>
            </w:r>
            <w:r>
              <w:rPr>
                <w:rStyle w:val="Firstpagetablebold"/>
                <w:rFonts w:cs="Arial"/>
                <w:color w:val="auto"/>
              </w:rPr>
              <w:t>R</w:t>
            </w:r>
            <w:r w:rsidR="00C0652D" w:rsidRPr="00575235">
              <w:rPr>
                <w:rStyle w:val="Firstpagetablebold"/>
                <w:rFonts w:cs="Arial"/>
                <w:color w:val="auto"/>
              </w:rPr>
              <w:t>eport rela</w:t>
            </w:r>
            <w:r>
              <w:rPr>
                <w:rStyle w:val="Firstpagetablebold"/>
                <w:rFonts w:cs="Arial"/>
                <w:color w:val="auto"/>
              </w:rPr>
              <w:t xml:space="preserve">ting to Barton </w:t>
            </w:r>
            <w:r w:rsidR="00CA78B8">
              <w:rPr>
                <w:rStyle w:val="Firstpagetablebold"/>
                <w:rFonts w:cs="Arial"/>
                <w:color w:val="auto"/>
              </w:rPr>
              <w:t>Oxford LLP</w:t>
            </w:r>
          </w:p>
          <w:p w:rsidR="00737C85" w:rsidRPr="00575235" w:rsidRDefault="00C0652D" w:rsidP="00203C5C">
            <w:pPr>
              <w:tabs>
                <w:tab w:val="left" w:pos="8647"/>
              </w:tabs>
              <w:spacing w:after="0"/>
              <w:ind w:right="1076"/>
              <w:rPr>
                <w:rStyle w:val="Firstpagetablebold"/>
                <w:rFonts w:cs="Arial"/>
                <w:color w:val="auto"/>
              </w:rPr>
            </w:pPr>
            <w:r w:rsidRPr="00575235">
              <w:rPr>
                <w:rStyle w:val="Firstpagetablebold"/>
                <w:rFonts w:cs="Arial"/>
                <w:color w:val="auto"/>
              </w:rPr>
              <w:t xml:space="preserve"> </w:t>
            </w:r>
          </w:p>
        </w:tc>
      </w:tr>
      <w:tr w:rsidR="00D554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445"/>
        </w:trPr>
        <w:tc>
          <w:tcPr>
            <w:tcW w:w="9464" w:type="dxa"/>
            <w:gridSpan w:val="4"/>
            <w:tcBorders>
              <w:bottom w:val="single" w:sz="8" w:space="0" w:color="000000"/>
            </w:tcBorders>
            <w:hideMark/>
          </w:tcPr>
          <w:p w:rsidR="00CC68B0" w:rsidRPr="00575235" w:rsidRDefault="00745BF0" w:rsidP="00203C5C">
            <w:pPr>
              <w:tabs>
                <w:tab w:val="left" w:pos="8647"/>
              </w:tabs>
              <w:ind w:left="601" w:right="1076"/>
              <w:jc w:val="center"/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Summary and r</w:t>
            </w:r>
            <w:r w:rsidR="00D5547E" w:rsidRPr="00575235">
              <w:rPr>
                <w:rStyle w:val="Firstpagetablebold"/>
                <w:rFonts w:cs="Arial"/>
              </w:rPr>
              <w:t>ecommendations</w:t>
            </w:r>
          </w:p>
        </w:tc>
      </w:tr>
      <w:tr w:rsidR="00D554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608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5547E" w:rsidRPr="00575235" w:rsidRDefault="00D5547E" w:rsidP="0041652A">
            <w:pPr>
              <w:tabs>
                <w:tab w:val="left" w:pos="8647"/>
              </w:tabs>
              <w:ind w:right="459"/>
              <w:rPr>
                <w:rStyle w:val="Firstpagetablebold"/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719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03E88" w:rsidRPr="00575235" w:rsidRDefault="00591686" w:rsidP="00452055">
            <w:pPr>
              <w:tabs>
                <w:tab w:val="left" w:pos="8647"/>
              </w:tabs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This report provides an update into the activities of Barton Oxford LLP</w:t>
            </w:r>
            <w:r w:rsidR="0033740F">
              <w:rPr>
                <w:rFonts w:cs="Arial"/>
              </w:rPr>
              <w:t xml:space="preserve"> (BOLLP)</w:t>
            </w:r>
            <w:r w:rsidRPr="00575235">
              <w:rPr>
                <w:rFonts w:cs="Arial"/>
              </w:rPr>
              <w:t xml:space="preserve"> over the</w:t>
            </w:r>
            <w:r w:rsidR="00A97094">
              <w:rPr>
                <w:rFonts w:cs="Arial"/>
              </w:rPr>
              <w:t xml:space="preserve"> past </w:t>
            </w:r>
            <w:r w:rsidRPr="00575235">
              <w:rPr>
                <w:rFonts w:cs="Arial"/>
              </w:rPr>
              <w:t>quarter</w:t>
            </w:r>
            <w:r w:rsidR="000947DC">
              <w:rPr>
                <w:rFonts w:cs="Arial"/>
              </w:rPr>
              <w:t>.</w:t>
            </w:r>
          </w:p>
        </w:tc>
      </w:tr>
      <w:tr w:rsidR="005F7F7E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319"/>
        </w:trPr>
        <w:tc>
          <w:tcPr>
            <w:tcW w:w="9464" w:type="dxa"/>
            <w:gridSpan w:val="4"/>
            <w:tcBorders>
              <w:top w:val="single" w:sz="4" w:space="0" w:color="auto"/>
              <w:bottom w:val="nil"/>
            </w:tcBorders>
          </w:tcPr>
          <w:p w:rsidR="00F03E88" w:rsidRDefault="00F03E88" w:rsidP="00203C5C">
            <w:pPr>
              <w:tabs>
                <w:tab w:val="left" w:pos="8647"/>
              </w:tabs>
              <w:ind w:right="1076"/>
              <w:rPr>
                <w:rStyle w:val="Firstpagetablebold"/>
                <w:rFonts w:cs="Arial"/>
              </w:rPr>
            </w:pPr>
          </w:p>
          <w:p w:rsidR="005F7F7E" w:rsidRPr="00575235" w:rsidRDefault="005F7F7E" w:rsidP="00203C5C">
            <w:pPr>
              <w:tabs>
                <w:tab w:val="left" w:pos="8647"/>
              </w:tabs>
              <w:ind w:right="1076"/>
              <w:rPr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Recommendation(s):</w:t>
            </w:r>
            <w:r w:rsidR="00E13656" w:rsidRPr="00575235">
              <w:rPr>
                <w:rStyle w:val="Firstpagetablebold"/>
                <w:rFonts w:cs="Arial"/>
              </w:rPr>
              <w:t>There is a resolution to</w:t>
            </w:r>
            <w:r w:rsidRPr="00575235">
              <w:rPr>
                <w:rStyle w:val="Firstpagetablebold"/>
                <w:rFonts w:cs="Arial"/>
              </w:rPr>
              <w:t>:</w:t>
            </w:r>
          </w:p>
        </w:tc>
      </w:tr>
      <w:tr w:rsidR="0030208D" w:rsidRPr="00575235" w:rsidTr="008014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34" w:type="dxa"/>
          <w:trHeight w:val="30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575235" w:rsidRDefault="0030208D" w:rsidP="00203C5C">
            <w:pPr>
              <w:pStyle w:val="ListParagraph"/>
              <w:numPr>
                <w:ilvl w:val="0"/>
                <w:numId w:val="31"/>
              </w:numPr>
              <w:tabs>
                <w:tab w:val="clear" w:pos="426"/>
                <w:tab w:val="left" w:pos="8647"/>
              </w:tabs>
              <w:ind w:left="317" w:right="1076" w:hanging="141"/>
              <w:jc w:val="center"/>
              <w:rPr>
                <w:rFonts w:cs="Arial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575235" w:rsidRDefault="00E13656" w:rsidP="00477BE1">
            <w:pPr>
              <w:spacing w:after="0"/>
              <w:ind w:right="1076"/>
              <w:contextualSpacing/>
              <w:jc w:val="both"/>
              <w:rPr>
                <w:rFonts w:cs="Arial"/>
              </w:rPr>
            </w:pPr>
            <w:r w:rsidRPr="00575235">
              <w:rPr>
                <w:rFonts w:cs="Arial"/>
              </w:rPr>
              <w:t>Note the contents of the report</w:t>
            </w:r>
            <w:r w:rsidR="002A2D09">
              <w:rPr>
                <w:rFonts w:cs="Arial"/>
              </w:rPr>
              <w:t>.</w:t>
            </w:r>
            <w:r w:rsidRPr="00575235">
              <w:rPr>
                <w:rFonts w:cs="Arial"/>
              </w:rPr>
              <w:t xml:space="preserve"> </w:t>
            </w:r>
          </w:p>
        </w:tc>
      </w:tr>
    </w:tbl>
    <w:p w:rsidR="00CE544A" w:rsidRPr="00575235" w:rsidRDefault="00CE544A" w:rsidP="00203C5C">
      <w:pPr>
        <w:tabs>
          <w:tab w:val="left" w:pos="8647"/>
        </w:tabs>
        <w:ind w:right="1076"/>
        <w:rPr>
          <w:rFonts w:cs="Arial"/>
        </w:rPr>
      </w:pP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64"/>
      </w:tblGrid>
      <w:tr w:rsidR="00966D42" w:rsidRPr="00575235" w:rsidTr="00801432">
        <w:trPr>
          <w:trHeight w:val="48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575235" w:rsidRDefault="00966D42" w:rsidP="00203C5C">
            <w:pPr>
              <w:tabs>
                <w:tab w:val="left" w:pos="8647"/>
              </w:tabs>
              <w:ind w:right="1076"/>
              <w:jc w:val="center"/>
              <w:rPr>
                <w:rFonts w:cs="Arial"/>
              </w:rPr>
            </w:pPr>
            <w:r w:rsidRPr="00575235">
              <w:rPr>
                <w:rStyle w:val="Firstpagetablebold"/>
                <w:rFonts w:cs="Arial"/>
              </w:rPr>
              <w:t>Appendices</w:t>
            </w:r>
          </w:p>
        </w:tc>
      </w:tr>
      <w:tr w:rsidR="00ED5860" w:rsidRPr="00575235" w:rsidTr="00801432">
        <w:trPr>
          <w:trHeight w:val="37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A78B8" w:rsidRPr="00575235" w:rsidRDefault="00840B10" w:rsidP="0041652A">
            <w:pPr>
              <w:tabs>
                <w:tab w:val="left" w:pos="8647"/>
              </w:tabs>
              <w:ind w:right="325"/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 xml:space="preserve">Appendix </w:t>
            </w:r>
            <w:r w:rsidR="0041652A">
              <w:rPr>
                <w:rFonts w:cs="Arial"/>
                <w:color w:val="auto"/>
              </w:rPr>
              <w:t>1</w:t>
            </w:r>
          </w:p>
        </w:tc>
        <w:tc>
          <w:tcPr>
            <w:tcW w:w="70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575235" w:rsidRDefault="00A464C4" w:rsidP="00CA78B8">
            <w:pPr>
              <w:tabs>
                <w:tab w:val="left" w:pos="8647"/>
              </w:tabs>
              <w:ind w:right="1076"/>
              <w:rPr>
                <w:rFonts w:cs="Arial"/>
                <w:color w:val="auto"/>
              </w:rPr>
            </w:pPr>
            <w:r w:rsidRPr="00575235">
              <w:rPr>
                <w:rFonts w:cs="Arial"/>
                <w:color w:val="auto"/>
              </w:rPr>
              <w:t>Not for publication</w:t>
            </w:r>
            <w:r w:rsidR="00F71CB8">
              <w:rPr>
                <w:rFonts w:cs="Arial"/>
                <w:color w:val="auto"/>
              </w:rPr>
              <w:t xml:space="preserve"> marketing report</w:t>
            </w:r>
            <w:r w:rsidR="002A2D09">
              <w:rPr>
                <w:rFonts w:cs="Arial"/>
                <w:color w:val="auto"/>
              </w:rPr>
              <w:t>.</w:t>
            </w:r>
          </w:p>
        </w:tc>
      </w:tr>
    </w:tbl>
    <w:p w:rsidR="0041652A" w:rsidRPr="00575235" w:rsidRDefault="0041652A" w:rsidP="00801432">
      <w:pPr>
        <w:tabs>
          <w:tab w:val="left" w:pos="8647"/>
        </w:tabs>
        <w:spacing w:after="0"/>
        <w:ind w:right="1076"/>
        <w:rPr>
          <w:rFonts w:eastAsiaTheme="minorHAnsi" w:cs="Arial"/>
          <w:color w:val="auto"/>
          <w:lang w:eastAsia="en-US"/>
        </w:rPr>
      </w:pPr>
    </w:p>
    <w:p w:rsidR="00FB7F38" w:rsidRPr="000E4F40" w:rsidRDefault="00FB7F38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 xml:space="preserve">Introduction and </w:t>
      </w:r>
      <w:r w:rsidR="008B593E" w:rsidRPr="000E4F40">
        <w:rPr>
          <w:rFonts w:eastAsiaTheme="minorHAnsi"/>
          <w:lang w:eastAsia="en-US"/>
        </w:rPr>
        <w:t>b</w:t>
      </w:r>
      <w:r w:rsidRPr="000E4F40">
        <w:rPr>
          <w:rFonts w:eastAsiaTheme="minorHAnsi"/>
          <w:lang w:eastAsia="en-US"/>
        </w:rPr>
        <w:t>ackground</w:t>
      </w:r>
    </w:p>
    <w:p w:rsidR="00FD48C9" w:rsidRPr="00AA3C4B" w:rsidRDefault="007859F3" w:rsidP="00AA3C4B">
      <w:pPr>
        <w:pStyle w:val="Numberedlist"/>
        <w:numPr>
          <w:ilvl w:val="0"/>
          <w:numId w:val="57"/>
        </w:numPr>
        <w:tabs>
          <w:tab w:val="clear" w:pos="993"/>
        </w:tabs>
        <w:ind w:left="360"/>
        <w:rPr>
          <w:rFonts w:eastAsiaTheme="minorHAnsi"/>
          <w:lang w:eastAsia="en-US"/>
        </w:rPr>
      </w:pPr>
      <w:r w:rsidRPr="00AD78FD">
        <w:rPr>
          <w:rFonts w:eastAsiaTheme="minorHAnsi"/>
          <w:lang w:eastAsia="en-US"/>
        </w:rPr>
        <w:t xml:space="preserve">This is the </w:t>
      </w:r>
      <w:r w:rsidR="000C04B4">
        <w:rPr>
          <w:rFonts w:eastAsiaTheme="minorHAnsi"/>
          <w:lang w:eastAsia="en-US"/>
        </w:rPr>
        <w:t>ninth</w:t>
      </w:r>
      <w:r w:rsidRPr="00AD78FD">
        <w:rPr>
          <w:rFonts w:eastAsiaTheme="minorHAnsi"/>
          <w:lang w:eastAsia="en-US"/>
        </w:rPr>
        <w:t xml:space="preserve"> report to the Shar</w:t>
      </w:r>
      <w:r w:rsidR="000947DC" w:rsidRPr="00AD78FD">
        <w:rPr>
          <w:rFonts w:eastAsiaTheme="minorHAnsi"/>
          <w:lang w:eastAsia="en-US"/>
        </w:rPr>
        <w:t>eholder and Joint Venture Group</w:t>
      </w:r>
      <w:r w:rsidR="00E30BB3" w:rsidRPr="00AD78FD">
        <w:rPr>
          <w:rFonts w:eastAsiaTheme="minorHAnsi"/>
          <w:lang w:eastAsia="en-US"/>
        </w:rPr>
        <w:t xml:space="preserve"> covering the period since the previous update in </w:t>
      </w:r>
      <w:r w:rsidR="000C04B4">
        <w:rPr>
          <w:rFonts w:eastAsiaTheme="minorHAnsi"/>
          <w:lang w:eastAsia="en-US"/>
        </w:rPr>
        <w:t xml:space="preserve">March </w:t>
      </w:r>
      <w:r w:rsidR="00452055">
        <w:rPr>
          <w:rFonts w:eastAsiaTheme="minorHAnsi"/>
          <w:lang w:eastAsia="en-US"/>
        </w:rPr>
        <w:t>202</w:t>
      </w:r>
      <w:r w:rsidR="000C04B4">
        <w:rPr>
          <w:rFonts w:eastAsiaTheme="minorHAnsi"/>
          <w:lang w:eastAsia="en-US"/>
        </w:rPr>
        <w:t>1</w:t>
      </w:r>
      <w:r w:rsidRPr="00AD78FD">
        <w:rPr>
          <w:rFonts w:eastAsiaTheme="minorHAnsi"/>
          <w:lang w:eastAsia="en-US"/>
        </w:rPr>
        <w:t>.</w:t>
      </w:r>
    </w:p>
    <w:p w:rsidR="00307A24" w:rsidRDefault="00307A24" w:rsidP="00AA3C4B">
      <w:pPr>
        <w:pStyle w:val="Heading1"/>
        <w:rPr>
          <w:rFonts w:eastAsiaTheme="minorHAnsi"/>
          <w:lang w:eastAsia="en-US"/>
        </w:rPr>
      </w:pPr>
      <w:r w:rsidRPr="00307A24">
        <w:rPr>
          <w:rFonts w:eastAsiaTheme="minorHAnsi"/>
          <w:lang w:eastAsia="en-US"/>
        </w:rPr>
        <w:t xml:space="preserve">Coronavirus </w:t>
      </w:r>
    </w:p>
    <w:p w:rsidR="00667551" w:rsidRDefault="000C04B4" w:rsidP="000E4F40">
      <w:pPr>
        <w:pStyle w:val="Numberedlist"/>
        <w:numPr>
          <w:ilvl w:val="0"/>
          <w:numId w:val="57"/>
        </w:numPr>
        <w:tabs>
          <w:tab w:val="clear" w:pos="993"/>
          <w:tab w:val="left" w:pos="8647"/>
        </w:tabs>
        <w:ind w:left="360" w:right="-728"/>
        <w:rPr>
          <w:rFonts w:cs="Arial"/>
        </w:rPr>
      </w:pPr>
      <w:r w:rsidRPr="000C04B4">
        <w:rPr>
          <w:rFonts w:cs="Arial"/>
        </w:rPr>
        <w:t xml:space="preserve">On </w:t>
      </w:r>
      <w:r>
        <w:rPr>
          <w:rFonts w:cs="Arial"/>
        </w:rPr>
        <w:t>5</w:t>
      </w:r>
      <w:r w:rsidRPr="000C04B4">
        <w:rPr>
          <w:rFonts w:cs="Arial"/>
          <w:vertAlign w:val="superscript"/>
        </w:rPr>
        <w:t>th</w:t>
      </w:r>
      <w:r>
        <w:rPr>
          <w:rFonts w:cs="Arial"/>
        </w:rPr>
        <w:t xml:space="preserve"> July </w:t>
      </w:r>
      <w:r w:rsidRPr="000C04B4">
        <w:rPr>
          <w:rFonts w:cs="Arial"/>
        </w:rPr>
        <w:t>2021, The Government announced a</w:t>
      </w:r>
      <w:r w:rsidR="00667551">
        <w:rPr>
          <w:rFonts w:cs="Arial"/>
        </w:rPr>
        <w:t xml:space="preserve">n end </w:t>
      </w:r>
      <w:r w:rsidRPr="000C04B4">
        <w:rPr>
          <w:rFonts w:cs="Arial"/>
        </w:rPr>
        <w:t>to</w:t>
      </w:r>
      <w:r w:rsidR="00667551">
        <w:rPr>
          <w:rFonts w:cs="Arial"/>
        </w:rPr>
        <w:t xml:space="preserve"> </w:t>
      </w:r>
      <w:r w:rsidRPr="000C04B4">
        <w:rPr>
          <w:rFonts w:cs="Arial"/>
        </w:rPr>
        <w:t>lockdown restrictions in England from 19</w:t>
      </w:r>
      <w:r w:rsidRPr="000C04B4">
        <w:rPr>
          <w:rFonts w:cs="Arial"/>
          <w:vertAlign w:val="superscript"/>
        </w:rPr>
        <w:t>th</w:t>
      </w:r>
      <w:r w:rsidRPr="000C04B4">
        <w:rPr>
          <w:rFonts w:cs="Arial"/>
        </w:rPr>
        <w:t xml:space="preserve"> of July</w:t>
      </w:r>
      <w:r w:rsidR="00667551">
        <w:rPr>
          <w:rFonts w:cs="Arial"/>
        </w:rPr>
        <w:t>. There remain</w:t>
      </w:r>
      <w:r w:rsidRPr="000C04B4">
        <w:rPr>
          <w:rFonts w:cs="Arial"/>
        </w:rPr>
        <w:t xml:space="preserve"> concerns over the Delta Varian</w:t>
      </w:r>
      <w:r w:rsidR="00D938EC">
        <w:rPr>
          <w:rFonts w:cs="Arial"/>
        </w:rPr>
        <w:t>t</w:t>
      </w:r>
      <w:r w:rsidRPr="000C04B4">
        <w:rPr>
          <w:rFonts w:cs="Arial"/>
        </w:rPr>
        <w:t xml:space="preserve"> and rising numbers of new cases. There is still uncertainty over whether the full impact of COVID is yet to be felt.</w:t>
      </w:r>
      <w:r w:rsidR="00667551">
        <w:rPr>
          <w:rFonts w:cs="Arial"/>
        </w:rPr>
        <w:t xml:space="preserve"> The residential property market remains buoyant, although developers are reporting supply chain difficulties.</w:t>
      </w:r>
    </w:p>
    <w:p w:rsidR="0087159E" w:rsidRPr="00AA3C4B" w:rsidRDefault="000C04B4" w:rsidP="00AA3C4B">
      <w:pPr>
        <w:pStyle w:val="Numberedlist"/>
        <w:numPr>
          <w:ilvl w:val="0"/>
          <w:numId w:val="57"/>
        </w:numPr>
        <w:tabs>
          <w:tab w:val="clear" w:pos="993"/>
          <w:tab w:val="left" w:pos="7830"/>
          <w:tab w:val="left" w:pos="8647"/>
        </w:tabs>
        <w:ind w:left="360" w:right="-728"/>
        <w:rPr>
          <w:rFonts w:cs="Arial"/>
        </w:rPr>
      </w:pPr>
      <w:r w:rsidRPr="000C04B4">
        <w:rPr>
          <w:rFonts w:cs="Arial"/>
        </w:rPr>
        <w:t>In anticipation of the social distancing restrictions so</w:t>
      </w:r>
      <w:r w:rsidR="00D938EC">
        <w:rPr>
          <w:rFonts w:cs="Arial"/>
        </w:rPr>
        <w:t>o</w:t>
      </w:r>
      <w:r w:rsidRPr="000C04B4">
        <w:rPr>
          <w:rFonts w:cs="Arial"/>
        </w:rPr>
        <w:t xml:space="preserve">n being lifted, </w:t>
      </w:r>
      <w:proofErr w:type="spellStart"/>
      <w:r w:rsidRPr="000C04B4">
        <w:rPr>
          <w:rFonts w:cs="Arial"/>
        </w:rPr>
        <w:t>FirstPort</w:t>
      </w:r>
      <w:proofErr w:type="spellEnd"/>
      <w:r w:rsidRPr="000C04B4">
        <w:rPr>
          <w:rFonts w:cs="Arial"/>
        </w:rPr>
        <w:t xml:space="preserve"> </w:t>
      </w:r>
      <w:r w:rsidR="00667551">
        <w:rPr>
          <w:rFonts w:cs="Arial"/>
        </w:rPr>
        <w:t xml:space="preserve">(who manage the site for the LLP) </w:t>
      </w:r>
      <w:r w:rsidRPr="000C04B4">
        <w:rPr>
          <w:rFonts w:cs="Arial"/>
        </w:rPr>
        <w:t>is working with the community health development officer, residents, local schools and interest groups, to discuss events and community projects and potential community activation events over upcoming summer months</w:t>
      </w:r>
      <w:r w:rsidR="00667551">
        <w:rPr>
          <w:rFonts w:cs="Arial"/>
        </w:rPr>
        <w:t>.</w:t>
      </w:r>
      <w:r w:rsidR="00880096" w:rsidRPr="000C04B4">
        <w:rPr>
          <w:rFonts w:eastAsiaTheme="minorHAnsi"/>
          <w:lang w:eastAsia="en-US"/>
        </w:rPr>
        <w:t xml:space="preserve">  </w:t>
      </w:r>
    </w:p>
    <w:p w:rsidR="0087159E" w:rsidRDefault="0057130A" w:rsidP="00AA3C4B">
      <w:pPr>
        <w:pStyle w:val="Heading1"/>
        <w:rPr>
          <w:rFonts w:eastAsiaTheme="minorHAnsi"/>
          <w:lang w:eastAsia="en-US"/>
        </w:rPr>
      </w:pPr>
      <w:r w:rsidRPr="00634AB9">
        <w:rPr>
          <w:rFonts w:eastAsiaTheme="minorHAnsi"/>
          <w:lang w:eastAsia="en-US"/>
        </w:rPr>
        <w:t xml:space="preserve">Progress Update </w:t>
      </w:r>
    </w:p>
    <w:p w:rsidR="00CF2861" w:rsidRPr="000E4F40" w:rsidRDefault="000E4F40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 xml:space="preserve">First </w:t>
      </w:r>
      <w:r w:rsidR="00FC269F" w:rsidRPr="000E4F40">
        <w:rPr>
          <w:rFonts w:eastAsiaTheme="minorHAnsi"/>
          <w:lang w:eastAsia="en-US"/>
        </w:rPr>
        <w:t xml:space="preserve">Phase </w:t>
      </w:r>
    </w:p>
    <w:p w:rsidR="00667551" w:rsidRPr="000E4F40" w:rsidRDefault="00667551" w:rsidP="000E4F40">
      <w:pPr>
        <w:pStyle w:val="ListParagraph"/>
        <w:numPr>
          <w:ilvl w:val="0"/>
          <w:numId w:val="57"/>
        </w:numPr>
        <w:tabs>
          <w:tab w:val="num" w:pos="1070"/>
        </w:tabs>
        <w:spacing w:after="0"/>
        <w:ind w:left="360"/>
        <w:contextualSpacing/>
        <w:jc w:val="both"/>
        <w:rPr>
          <w:rFonts w:cs="Arial"/>
        </w:rPr>
      </w:pPr>
      <w:r w:rsidRPr="00667551">
        <w:rPr>
          <w:lang w:eastAsia="en-US"/>
        </w:rPr>
        <w:t xml:space="preserve">Hill </w:t>
      </w:r>
      <w:r w:rsidRPr="000E4F40">
        <w:rPr>
          <w:rFonts w:cs="Arial"/>
        </w:rPr>
        <w:t xml:space="preserve">report that they have </w:t>
      </w:r>
      <w:r w:rsidR="00D938EC" w:rsidRPr="000E4F40">
        <w:rPr>
          <w:rFonts w:cs="Arial"/>
        </w:rPr>
        <w:t>now</w:t>
      </w:r>
      <w:r w:rsidRPr="000E4F40">
        <w:rPr>
          <w:rFonts w:cs="Arial"/>
        </w:rPr>
        <w:t xml:space="preserve"> completed 225 units out of the total 237, and all affordable homes </w:t>
      </w:r>
      <w:r w:rsidR="00D938EC" w:rsidRPr="000E4F40">
        <w:rPr>
          <w:rFonts w:cs="Arial"/>
        </w:rPr>
        <w:t>have been handed over .</w:t>
      </w:r>
      <w:r w:rsidRPr="000E4F40">
        <w:rPr>
          <w:rFonts w:cs="Arial"/>
        </w:rPr>
        <w:t>They e</w:t>
      </w:r>
      <w:r w:rsidR="00D938EC" w:rsidRPr="000E4F40">
        <w:rPr>
          <w:rFonts w:cs="Arial"/>
        </w:rPr>
        <w:t xml:space="preserve">xpect </w:t>
      </w:r>
      <w:r w:rsidRPr="000E4F40">
        <w:rPr>
          <w:rFonts w:cs="Arial"/>
        </w:rPr>
        <w:t>to achieve overall completion of construction on site by December 2021.</w:t>
      </w:r>
    </w:p>
    <w:p w:rsidR="00D938EC" w:rsidRPr="00667551" w:rsidRDefault="00D938EC" w:rsidP="000E4F40">
      <w:pPr>
        <w:tabs>
          <w:tab w:val="num" w:pos="1430"/>
        </w:tabs>
        <w:spacing w:after="0"/>
        <w:ind w:left="207"/>
        <w:contextualSpacing/>
        <w:jc w:val="both"/>
        <w:rPr>
          <w:rFonts w:cs="Arial"/>
          <w:color w:val="auto"/>
        </w:rPr>
      </w:pPr>
    </w:p>
    <w:p w:rsidR="007859F3" w:rsidRPr="000E4F40" w:rsidRDefault="00EA1336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>Second Phase</w:t>
      </w:r>
    </w:p>
    <w:p w:rsidR="00667551" w:rsidRPr="000E4F40" w:rsidRDefault="00667551" w:rsidP="000E4F40">
      <w:pPr>
        <w:pStyle w:val="ListParagraph"/>
        <w:numPr>
          <w:ilvl w:val="0"/>
          <w:numId w:val="57"/>
        </w:numPr>
        <w:tabs>
          <w:tab w:val="num" w:pos="1070"/>
        </w:tabs>
        <w:spacing w:after="0"/>
        <w:ind w:left="360"/>
        <w:contextualSpacing/>
        <w:jc w:val="both"/>
        <w:rPr>
          <w:rFonts w:cs="Arial"/>
          <w:color w:val="auto"/>
        </w:rPr>
      </w:pPr>
      <w:proofErr w:type="spellStart"/>
      <w:r w:rsidRPr="000E4F40">
        <w:rPr>
          <w:rFonts w:cs="Arial"/>
        </w:rPr>
        <w:t>Redrow</w:t>
      </w:r>
      <w:proofErr w:type="spellEnd"/>
      <w:r w:rsidRPr="000E4F40">
        <w:rPr>
          <w:rFonts w:cs="Arial"/>
        </w:rPr>
        <w:t xml:space="preserve"> has now completed the first 10 units onsite with 3 </w:t>
      </w:r>
      <w:r w:rsidR="00D938EC" w:rsidRPr="000E4F40">
        <w:rPr>
          <w:rFonts w:cs="Arial"/>
        </w:rPr>
        <w:t xml:space="preserve">(private sale) </w:t>
      </w:r>
      <w:r w:rsidRPr="000E4F40">
        <w:rPr>
          <w:rFonts w:cs="Arial"/>
        </w:rPr>
        <w:t>handed over and occupied. They anticipate completing a further 50 units bringing the total number of completions to 60 by December 2021, including an apartment block for the Housing Company.</w:t>
      </w:r>
      <w:r w:rsidR="00D938EC" w:rsidRPr="000E4F40">
        <w:rPr>
          <w:rFonts w:cs="Arial"/>
        </w:rPr>
        <w:t xml:space="preserve"> T</w:t>
      </w:r>
      <w:r w:rsidR="00383190" w:rsidRPr="000E4F40">
        <w:rPr>
          <w:rFonts w:cs="Arial"/>
        </w:rPr>
        <w:t>his phase is to deliver 207 units</w:t>
      </w:r>
      <w:r w:rsidR="00D938EC" w:rsidRPr="000E4F40">
        <w:rPr>
          <w:rFonts w:cs="Arial"/>
        </w:rPr>
        <w:t>.</w:t>
      </w:r>
      <w:r w:rsidR="00383190" w:rsidRPr="000E4F40">
        <w:rPr>
          <w:rFonts w:cs="Arial"/>
        </w:rPr>
        <w:t xml:space="preserve"> </w:t>
      </w:r>
      <w:r w:rsidRPr="000E4F40">
        <w:rPr>
          <w:rFonts w:cs="Arial"/>
        </w:rPr>
        <w:t xml:space="preserve"> </w:t>
      </w:r>
    </w:p>
    <w:p w:rsidR="00BA453E" w:rsidRPr="00575235" w:rsidRDefault="00BA453E" w:rsidP="000E4F40">
      <w:pPr>
        <w:tabs>
          <w:tab w:val="left" w:pos="8647"/>
        </w:tabs>
        <w:spacing w:after="0"/>
        <w:ind w:left="349" w:right="1076" w:hanging="425"/>
        <w:jc w:val="both"/>
        <w:rPr>
          <w:rFonts w:eastAsiaTheme="minorHAnsi" w:cs="Arial"/>
          <w:color w:val="auto"/>
          <w:lang w:eastAsia="en-US"/>
        </w:rPr>
      </w:pPr>
    </w:p>
    <w:p w:rsidR="00BA453E" w:rsidRPr="000E4F40" w:rsidRDefault="00E37600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 xml:space="preserve">Third Phase </w:t>
      </w:r>
      <w:r w:rsidR="00BA453E" w:rsidRPr="000E4F40">
        <w:rPr>
          <w:rFonts w:eastAsiaTheme="minorHAnsi"/>
          <w:lang w:eastAsia="en-US"/>
        </w:rPr>
        <w:t xml:space="preserve"> </w:t>
      </w:r>
    </w:p>
    <w:p w:rsidR="00E37600" w:rsidRPr="000E4F40" w:rsidRDefault="00E37600" w:rsidP="000E4F40">
      <w:pPr>
        <w:pStyle w:val="ListParagraph"/>
        <w:numPr>
          <w:ilvl w:val="0"/>
          <w:numId w:val="57"/>
        </w:numPr>
        <w:spacing w:after="0"/>
        <w:ind w:left="360"/>
        <w:contextualSpacing/>
        <w:jc w:val="both"/>
        <w:rPr>
          <w:rFonts w:cs="Arial"/>
        </w:rPr>
      </w:pPr>
      <w:r w:rsidRPr="000E4F40">
        <w:rPr>
          <w:rFonts w:eastAsiaTheme="minorHAnsi"/>
          <w:lang w:eastAsia="en-US"/>
        </w:rPr>
        <w:t xml:space="preserve">BOLLP has now exchanged and completed on the sale to Countryside, detailed terms are </w:t>
      </w:r>
      <w:r w:rsidR="00E34794" w:rsidRPr="000E4F40">
        <w:rPr>
          <w:rFonts w:eastAsiaTheme="minorHAnsi"/>
          <w:lang w:eastAsia="en-US"/>
        </w:rPr>
        <w:t>commercially sensitive and further details</w:t>
      </w:r>
      <w:r w:rsidR="00BA453E" w:rsidRPr="000E4F40">
        <w:rPr>
          <w:rFonts w:eastAsiaTheme="minorHAnsi"/>
          <w:lang w:eastAsia="en-US"/>
        </w:rPr>
        <w:t xml:space="preserve"> are contained in t</w:t>
      </w:r>
      <w:r w:rsidR="007367F6" w:rsidRPr="000E4F40">
        <w:rPr>
          <w:rFonts w:eastAsiaTheme="minorHAnsi"/>
          <w:lang w:eastAsia="en-US"/>
        </w:rPr>
        <w:t>he not for publication appendix</w:t>
      </w:r>
      <w:r w:rsidR="00BA453E" w:rsidRPr="000E4F40">
        <w:rPr>
          <w:rFonts w:eastAsiaTheme="minorHAnsi"/>
          <w:lang w:eastAsia="en-US"/>
        </w:rPr>
        <w:t>.</w:t>
      </w:r>
      <w:r w:rsidRPr="000E4F40">
        <w:rPr>
          <w:rFonts w:cs="Arial"/>
          <w:sz w:val="20"/>
          <w:szCs w:val="20"/>
        </w:rPr>
        <w:t xml:space="preserve"> </w:t>
      </w:r>
      <w:r w:rsidRPr="000E4F40">
        <w:rPr>
          <w:rFonts w:cs="Arial"/>
        </w:rPr>
        <w:t xml:space="preserve">A press release for this appointment was issued shortly after completion, Oxford Times, Oxford Mail, Housing Today, Show House, React News, </w:t>
      </w:r>
      <w:proofErr w:type="spellStart"/>
      <w:r w:rsidRPr="000E4F40">
        <w:rPr>
          <w:rFonts w:cs="Arial"/>
        </w:rPr>
        <w:t>PrimeResi</w:t>
      </w:r>
      <w:proofErr w:type="spellEnd"/>
      <w:r w:rsidRPr="000E4F40">
        <w:rPr>
          <w:rFonts w:cs="Arial"/>
        </w:rPr>
        <w:t xml:space="preserve"> and The Construction Index have covered the news. Countryside is making good progress on design and preplanning for their Reserve</w:t>
      </w:r>
      <w:r w:rsidR="00D938EC" w:rsidRPr="000E4F40">
        <w:rPr>
          <w:rFonts w:cs="Arial"/>
        </w:rPr>
        <w:t>d</w:t>
      </w:r>
      <w:r w:rsidRPr="000E4F40">
        <w:rPr>
          <w:rFonts w:cs="Arial"/>
        </w:rPr>
        <w:t xml:space="preserve"> Matter</w:t>
      </w:r>
      <w:r w:rsidR="00D938EC" w:rsidRPr="000E4F40">
        <w:rPr>
          <w:rFonts w:cs="Arial"/>
        </w:rPr>
        <w:t>s</w:t>
      </w:r>
      <w:r w:rsidRPr="000E4F40">
        <w:rPr>
          <w:rFonts w:cs="Arial"/>
        </w:rPr>
        <w:t xml:space="preserve"> application. They already have a few pre-planning meeting dates and also have planned the first O</w:t>
      </w:r>
      <w:r w:rsidR="00F71CB8">
        <w:rPr>
          <w:rFonts w:cs="Arial"/>
        </w:rPr>
        <w:t xml:space="preserve">xford </w:t>
      </w:r>
      <w:r w:rsidRPr="000E4F40">
        <w:rPr>
          <w:rFonts w:cs="Arial"/>
        </w:rPr>
        <w:t>D</w:t>
      </w:r>
      <w:r w:rsidR="00F71CB8">
        <w:rPr>
          <w:rFonts w:cs="Arial"/>
        </w:rPr>
        <w:t xml:space="preserve">esign </w:t>
      </w:r>
      <w:r w:rsidRPr="000E4F40">
        <w:rPr>
          <w:rFonts w:cs="Arial"/>
        </w:rPr>
        <w:t>R</w:t>
      </w:r>
      <w:r w:rsidR="00F71CB8">
        <w:rPr>
          <w:rFonts w:cs="Arial"/>
        </w:rPr>
        <w:t xml:space="preserve">eview </w:t>
      </w:r>
      <w:r w:rsidRPr="000E4F40">
        <w:rPr>
          <w:rFonts w:cs="Arial"/>
        </w:rPr>
        <w:t>P</w:t>
      </w:r>
      <w:r w:rsidR="00F71CB8">
        <w:rPr>
          <w:rFonts w:cs="Arial"/>
        </w:rPr>
        <w:t>anel</w:t>
      </w:r>
      <w:r w:rsidRPr="000E4F40">
        <w:rPr>
          <w:rFonts w:cs="Arial"/>
        </w:rPr>
        <w:t xml:space="preserve"> on the 29th of July. </w:t>
      </w:r>
      <w:r w:rsidR="003B1712" w:rsidRPr="000E4F40">
        <w:rPr>
          <w:rFonts w:cs="Arial"/>
        </w:rPr>
        <w:t>This phase will deliver 441 units.</w:t>
      </w:r>
    </w:p>
    <w:p w:rsidR="000E4F40" w:rsidRDefault="000E4F40" w:rsidP="000E4F40">
      <w:pPr>
        <w:spacing w:after="0"/>
        <w:contextualSpacing/>
        <w:jc w:val="both"/>
        <w:rPr>
          <w:rFonts w:cs="Arial"/>
          <w:b/>
          <w:color w:val="auto"/>
        </w:rPr>
      </w:pPr>
    </w:p>
    <w:p w:rsidR="000E4F40" w:rsidRPr="00AA3C4B" w:rsidRDefault="00E37600" w:rsidP="00AA3C4B">
      <w:pPr>
        <w:pStyle w:val="Heading1"/>
      </w:pPr>
      <w:r w:rsidRPr="000E4F40">
        <w:t>Final Phase</w:t>
      </w:r>
    </w:p>
    <w:p w:rsidR="00E37600" w:rsidRPr="000E4F40" w:rsidRDefault="00E37600" w:rsidP="000E4F40">
      <w:pPr>
        <w:pStyle w:val="ListParagraph"/>
        <w:numPr>
          <w:ilvl w:val="0"/>
          <w:numId w:val="57"/>
        </w:numPr>
        <w:spacing w:after="0"/>
        <w:ind w:left="360"/>
        <w:contextualSpacing/>
        <w:jc w:val="both"/>
        <w:rPr>
          <w:rFonts w:cs="Arial"/>
          <w:color w:val="auto"/>
        </w:rPr>
      </w:pPr>
      <w:r w:rsidRPr="000E4F40">
        <w:rPr>
          <w:rFonts w:cs="Arial"/>
          <w:color w:val="auto"/>
        </w:rPr>
        <w:t xml:space="preserve">A marketing strategy is being drawn up for the final phase on land adjacent to </w:t>
      </w:r>
      <w:proofErr w:type="spellStart"/>
      <w:r w:rsidR="009A5C48" w:rsidRPr="000E4F40">
        <w:rPr>
          <w:rFonts w:cs="Arial"/>
          <w:color w:val="auto"/>
        </w:rPr>
        <w:t>Harolde</w:t>
      </w:r>
      <w:proofErr w:type="spellEnd"/>
      <w:r w:rsidR="009A5C48" w:rsidRPr="000E4F40">
        <w:rPr>
          <w:rFonts w:cs="Arial"/>
          <w:color w:val="auto"/>
        </w:rPr>
        <w:t xml:space="preserve"> Close. The sale to Countryside has fulfilled the quota of up to 885 units so this area will require a new planning consent. It is estimated that it could provide a further 18 units.</w:t>
      </w:r>
      <w:r w:rsidR="00383190" w:rsidRPr="000E4F40">
        <w:rPr>
          <w:rFonts w:cs="Arial"/>
          <w:color w:val="auto"/>
        </w:rPr>
        <w:t xml:space="preserve"> More detail is attached in the not for publication appendix.</w:t>
      </w:r>
    </w:p>
    <w:p w:rsidR="00383190" w:rsidRPr="009A5C48" w:rsidRDefault="00383190" w:rsidP="000E4F40">
      <w:pPr>
        <w:spacing w:after="0"/>
        <w:ind w:left="207"/>
        <w:contextualSpacing/>
        <w:jc w:val="both"/>
        <w:rPr>
          <w:rFonts w:cs="Arial"/>
          <w:color w:val="auto"/>
        </w:rPr>
      </w:pPr>
    </w:p>
    <w:p w:rsidR="00203C5C" w:rsidRPr="000E4F40" w:rsidRDefault="00203C5C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>The Pavilion</w:t>
      </w:r>
    </w:p>
    <w:p w:rsidR="00FB7646" w:rsidRPr="00801432" w:rsidRDefault="009A5C48" w:rsidP="000E4F40">
      <w:pPr>
        <w:pStyle w:val="Numberedlist"/>
        <w:numPr>
          <w:ilvl w:val="0"/>
          <w:numId w:val="57"/>
        </w:numPr>
        <w:tabs>
          <w:tab w:val="clear" w:pos="993"/>
        </w:tabs>
        <w:spacing w:after="0"/>
        <w:ind w:left="360" w:right="-29"/>
        <w:jc w:val="both"/>
        <w:rPr>
          <w:rFonts w:eastAsiaTheme="minorHAnsi" w:cs="Arial"/>
          <w:color w:val="auto"/>
          <w:lang w:eastAsia="en-US"/>
        </w:rPr>
      </w:pPr>
      <w:r>
        <w:rPr>
          <w:rFonts w:eastAsiaTheme="minorHAnsi"/>
          <w:lang w:eastAsia="en-US"/>
        </w:rPr>
        <w:t xml:space="preserve">The </w:t>
      </w:r>
      <w:r w:rsidR="00141C13">
        <w:rPr>
          <w:rFonts w:eastAsiaTheme="minorHAnsi"/>
          <w:lang w:eastAsia="en-US"/>
        </w:rPr>
        <w:t>improve</w:t>
      </w:r>
      <w:r>
        <w:rPr>
          <w:rFonts w:eastAsiaTheme="minorHAnsi"/>
          <w:lang w:eastAsia="en-US"/>
        </w:rPr>
        <w:t xml:space="preserve">ments to </w:t>
      </w:r>
      <w:r w:rsidR="00141C13">
        <w:rPr>
          <w:rFonts w:eastAsiaTheme="minorHAnsi"/>
          <w:lang w:eastAsia="en-US"/>
        </w:rPr>
        <w:t>the disabled parking and disabled WC along with redecoration of some areas</w:t>
      </w:r>
      <w:r>
        <w:rPr>
          <w:rFonts w:eastAsiaTheme="minorHAnsi"/>
          <w:lang w:eastAsia="en-US"/>
        </w:rPr>
        <w:t xml:space="preserve"> is now complete</w:t>
      </w:r>
      <w:r w:rsidR="0033740F">
        <w:rPr>
          <w:rFonts w:eastAsiaTheme="minorHAnsi"/>
          <w:lang w:eastAsia="en-US"/>
        </w:rPr>
        <w:t>.</w:t>
      </w:r>
      <w:r w:rsidR="00141C13">
        <w:rPr>
          <w:rFonts w:eastAsiaTheme="minorHAnsi"/>
          <w:lang w:eastAsia="en-US"/>
        </w:rPr>
        <w:t xml:space="preserve">  </w:t>
      </w:r>
    </w:p>
    <w:p w:rsidR="005B757B" w:rsidRDefault="005B757B" w:rsidP="000E4F40">
      <w:pPr>
        <w:spacing w:after="0"/>
        <w:ind w:left="-360" w:right="-29" w:firstLine="195"/>
        <w:jc w:val="both"/>
        <w:rPr>
          <w:rFonts w:eastAsiaTheme="minorHAnsi" w:cs="Arial"/>
          <w:b/>
          <w:color w:val="auto"/>
          <w:lang w:eastAsia="en-US"/>
        </w:rPr>
      </w:pPr>
    </w:p>
    <w:p w:rsidR="00FB7646" w:rsidRPr="00AA3C4B" w:rsidRDefault="00FB7646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>The School</w:t>
      </w:r>
    </w:p>
    <w:p w:rsidR="00D938EC" w:rsidRDefault="00BB5DBA" w:rsidP="000E4F40">
      <w:pPr>
        <w:pStyle w:val="Numberedlist"/>
        <w:numPr>
          <w:ilvl w:val="0"/>
          <w:numId w:val="57"/>
        </w:numPr>
        <w:ind w:left="360"/>
      </w:pPr>
      <w:r w:rsidRPr="00801432">
        <w:t xml:space="preserve">The school </w:t>
      </w:r>
      <w:r w:rsidR="0033740F">
        <w:t>has current vacancies in years 1 and 2.</w:t>
      </w:r>
      <w:r w:rsidR="008E0377">
        <w:t xml:space="preserve"> </w:t>
      </w:r>
    </w:p>
    <w:p w:rsidR="008E0377" w:rsidRPr="003B1712" w:rsidRDefault="008E0377" w:rsidP="000E4F40">
      <w:pPr>
        <w:pStyle w:val="Numberedlist"/>
        <w:numPr>
          <w:ilvl w:val="0"/>
          <w:numId w:val="0"/>
        </w:numPr>
        <w:ind w:left="-360" w:firstLine="60"/>
        <w:rPr>
          <w:sz w:val="20"/>
          <w:szCs w:val="20"/>
        </w:rPr>
      </w:pPr>
    </w:p>
    <w:p w:rsidR="00BA412F" w:rsidRPr="000E4F40" w:rsidRDefault="00BA412F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 xml:space="preserve">Public Art </w:t>
      </w:r>
    </w:p>
    <w:p w:rsidR="003B1712" w:rsidRPr="000E4F40" w:rsidRDefault="003B1712" w:rsidP="000E4F40">
      <w:pPr>
        <w:pStyle w:val="ListParagraph"/>
        <w:numPr>
          <w:ilvl w:val="0"/>
          <w:numId w:val="57"/>
        </w:numPr>
        <w:spacing w:after="0"/>
        <w:ind w:left="360"/>
        <w:contextualSpacing/>
        <w:jc w:val="both"/>
        <w:rPr>
          <w:rFonts w:cs="Arial"/>
          <w:color w:val="auto"/>
        </w:rPr>
      </w:pPr>
      <w:r w:rsidRPr="000E4F40">
        <w:rPr>
          <w:rFonts w:cs="Arial"/>
        </w:rPr>
        <w:t>Following appointment of Raw to lead on the delivery of Public Art</w:t>
      </w:r>
      <w:r w:rsidR="00D938EC" w:rsidRPr="000E4F40">
        <w:rPr>
          <w:rFonts w:cs="Arial"/>
        </w:rPr>
        <w:t>,</w:t>
      </w:r>
      <w:r w:rsidRPr="000E4F40">
        <w:rPr>
          <w:rFonts w:cs="Arial"/>
        </w:rPr>
        <w:t xml:space="preserve"> Raw has been working with their consultant Jessop and Cook to progress the detailed design work and prepare documents for pre-planning meetings with the Local Planning Authority. Prior and Partners are providing more detailed planning advice.</w:t>
      </w:r>
      <w:r w:rsidR="00D938EC" w:rsidRPr="000E4F40">
        <w:rPr>
          <w:rFonts w:cs="Arial"/>
        </w:rPr>
        <w:t xml:space="preserve"> </w:t>
      </w:r>
      <w:r w:rsidRPr="000E4F40">
        <w:rPr>
          <w:rFonts w:cs="Arial"/>
        </w:rPr>
        <w:t>The p</w:t>
      </w:r>
      <w:r w:rsidR="00D938EC" w:rsidRPr="000E4F40">
        <w:rPr>
          <w:rFonts w:cs="Arial"/>
        </w:rPr>
        <w:t>l</w:t>
      </w:r>
      <w:r w:rsidR="00AA3C4B">
        <w:rPr>
          <w:rFonts w:cs="Arial"/>
        </w:rPr>
        <w:t xml:space="preserve">anning </w:t>
      </w:r>
      <w:r w:rsidRPr="000E4F40">
        <w:rPr>
          <w:rFonts w:cs="Arial"/>
        </w:rPr>
        <w:t xml:space="preserve">process means that it is unlikely that Raw will be able to deliver the public art project before the end of </w:t>
      </w:r>
      <w:r w:rsidR="00D938EC" w:rsidRPr="000E4F40">
        <w:rPr>
          <w:rFonts w:cs="Arial"/>
        </w:rPr>
        <w:t xml:space="preserve">the </w:t>
      </w:r>
      <w:proofErr w:type="gramStart"/>
      <w:r w:rsidRPr="000E4F40">
        <w:rPr>
          <w:rFonts w:cs="Arial"/>
        </w:rPr>
        <w:t>Summer</w:t>
      </w:r>
      <w:proofErr w:type="gramEnd"/>
      <w:r w:rsidRPr="000E4F40">
        <w:rPr>
          <w:rFonts w:cs="Arial"/>
        </w:rPr>
        <w:t xml:space="preserve"> months 2021. They are currently updating the overall project programme to reflect this delay, and are working to develop a community activation programme to be implemented over </w:t>
      </w:r>
      <w:r w:rsidRPr="000E4F40">
        <w:rPr>
          <w:rFonts w:cs="Arial"/>
        </w:rPr>
        <w:lastRenderedPageBreak/>
        <w:t>summer/early autumn to set the scene and generate community support for the delivery of Public Art.</w:t>
      </w:r>
    </w:p>
    <w:p w:rsidR="00634AB9" w:rsidRPr="00634AB9" w:rsidRDefault="00634AB9" w:rsidP="000E4F40">
      <w:pPr>
        <w:pStyle w:val="Numberedlist"/>
        <w:numPr>
          <w:ilvl w:val="0"/>
          <w:numId w:val="0"/>
        </w:numPr>
        <w:ind w:left="207"/>
        <w:rPr>
          <w:rFonts w:eastAsiaTheme="minorHAnsi"/>
          <w:lang w:eastAsia="en-US"/>
        </w:rPr>
      </w:pPr>
    </w:p>
    <w:p w:rsidR="00203C5C" w:rsidRPr="000E4F40" w:rsidRDefault="00C905BB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>F</w:t>
      </w:r>
      <w:r w:rsidR="00203C5C" w:rsidRPr="000E4F40">
        <w:rPr>
          <w:rFonts w:eastAsiaTheme="minorHAnsi"/>
          <w:lang w:eastAsia="en-US"/>
        </w:rPr>
        <w:t xml:space="preserve">inancial Implications </w:t>
      </w:r>
    </w:p>
    <w:p w:rsidR="0041652A" w:rsidRDefault="00477BE1" w:rsidP="000E4F40">
      <w:pPr>
        <w:pStyle w:val="Numberedlist"/>
        <w:numPr>
          <w:ilvl w:val="0"/>
          <w:numId w:val="57"/>
        </w:numPr>
        <w:ind w:left="360"/>
        <w:rPr>
          <w:rFonts w:eastAsiaTheme="minorHAnsi" w:cs="Arial"/>
          <w:color w:val="auto"/>
          <w:lang w:eastAsia="en-US"/>
        </w:rPr>
      </w:pPr>
      <w:r w:rsidRPr="00A10491">
        <w:rPr>
          <w:rFonts w:eastAsiaTheme="minorHAnsi" w:cs="Arial"/>
          <w:color w:val="auto"/>
          <w:lang w:eastAsia="en-US"/>
        </w:rPr>
        <w:t>The</w:t>
      </w:r>
      <w:r w:rsidR="009F2B5F">
        <w:rPr>
          <w:rFonts w:eastAsiaTheme="minorHAnsi" w:cs="Arial"/>
          <w:color w:val="auto"/>
          <w:lang w:eastAsia="en-US"/>
        </w:rPr>
        <w:t xml:space="preserve"> financial implications are detailed in the not for publication appendix.</w:t>
      </w:r>
    </w:p>
    <w:p w:rsidR="008E0377" w:rsidRPr="008E0377" w:rsidRDefault="008E0377" w:rsidP="000E4F40">
      <w:pPr>
        <w:pStyle w:val="Numberedlist"/>
        <w:numPr>
          <w:ilvl w:val="0"/>
          <w:numId w:val="0"/>
        </w:numPr>
        <w:ind w:left="207"/>
        <w:rPr>
          <w:rFonts w:eastAsiaTheme="minorHAnsi" w:cs="Arial"/>
          <w:color w:val="auto"/>
          <w:lang w:eastAsia="en-US"/>
        </w:rPr>
      </w:pPr>
    </w:p>
    <w:p w:rsidR="0041652A" w:rsidRPr="000E4F40" w:rsidRDefault="00477BE1" w:rsidP="00AA3C4B">
      <w:pPr>
        <w:pStyle w:val="Heading1"/>
        <w:rPr>
          <w:rFonts w:eastAsiaTheme="minorHAnsi"/>
          <w:lang w:eastAsia="en-US"/>
        </w:rPr>
      </w:pPr>
      <w:r w:rsidRPr="000E4F40">
        <w:rPr>
          <w:rFonts w:eastAsiaTheme="minorHAnsi"/>
          <w:lang w:eastAsia="en-US"/>
        </w:rPr>
        <w:t>Legal</w:t>
      </w:r>
      <w:r w:rsidR="0041652A" w:rsidRPr="000E4F40">
        <w:rPr>
          <w:rFonts w:eastAsiaTheme="minorHAnsi"/>
          <w:lang w:eastAsia="en-US"/>
        </w:rPr>
        <w:t xml:space="preserve"> Implications </w:t>
      </w:r>
    </w:p>
    <w:p w:rsidR="0041652A" w:rsidRDefault="0041652A" w:rsidP="000E4F40">
      <w:pPr>
        <w:pStyle w:val="Numberedlist"/>
        <w:numPr>
          <w:ilvl w:val="0"/>
          <w:numId w:val="57"/>
        </w:numPr>
        <w:tabs>
          <w:tab w:val="clear" w:pos="993"/>
        </w:tabs>
        <w:ind w:left="360"/>
        <w:rPr>
          <w:rFonts w:eastAsiaTheme="minorHAnsi" w:cs="Arial"/>
          <w:color w:val="auto"/>
          <w:lang w:eastAsia="en-US"/>
        </w:rPr>
      </w:pPr>
      <w:r w:rsidRPr="00A10491">
        <w:rPr>
          <w:rFonts w:eastAsiaTheme="minorHAnsi" w:cs="Arial"/>
          <w:color w:val="auto"/>
          <w:lang w:eastAsia="en-US"/>
        </w:rPr>
        <w:t xml:space="preserve">There are no </w:t>
      </w:r>
      <w:r w:rsidR="00477BE1" w:rsidRPr="00A10491">
        <w:rPr>
          <w:rFonts w:eastAsiaTheme="minorHAnsi" w:cs="Arial"/>
          <w:color w:val="auto"/>
          <w:lang w:eastAsia="en-US"/>
        </w:rPr>
        <w:t>legal implications arising directly from this report.</w:t>
      </w:r>
    </w:p>
    <w:p w:rsidR="008E0377" w:rsidRDefault="008E0377" w:rsidP="008E0377">
      <w:pPr>
        <w:pStyle w:val="Numberedlist"/>
        <w:numPr>
          <w:ilvl w:val="0"/>
          <w:numId w:val="0"/>
        </w:numPr>
        <w:tabs>
          <w:tab w:val="clear" w:pos="993"/>
        </w:tabs>
        <w:ind w:left="567"/>
        <w:rPr>
          <w:rFonts w:eastAsiaTheme="minorHAnsi" w:cs="Arial"/>
          <w:color w:val="auto"/>
          <w:lang w:eastAsia="en-US"/>
        </w:rPr>
      </w:pPr>
    </w:p>
    <w:p w:rsidR="00F524C3" w:rsidRPr="00F524C3" w:rsidRDefault="00F524C3" w:rsidP="00801432">
      <w:pPr>
        <w:spacing w:after="0"/>
        <w:ind w:right="-29"/>
        <w:jc w:val="both"/>
        <w:rPr>
          <w:rFonts w:eastAsiaTheme="minorHAnsi" w:cs="Arial"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878"/>
        <w:gridCol w:w="4896"/>
      </w:tblGrid>
      <w:tr w:rsidR="00DF093E" w:rsidRPr="00575235" w:rsidTr="00F524C3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575235" w:rsidRDefault="00E87F7A" w:rsidP="00801432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  <w:r w:rsidRPr="00575235">
              <w:rPr>
                <w:rFonts w:cs="Arial"/>
                <w:b/>
              </w:rPr>
              <w:t>Report author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575235" w:rsidRDefault="00922669" w:rsidP="00801432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Jane Winfield</w:t>
            </w:r>
          </w:p>
        </w:tc>
      </w:tr>
      <w:tr w:rsidR="0041652A" w:rsidRPr="00575235" w:rsidTr="00F524C3">
        <w:trPr>
          <w:cantSplit/>
          <w:trHeight w:val="71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1652A" w:rsidRDefault="0041652A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 w:rsidR="0041652A" w:rsidRPr="00575235" w:rsidRDefault="0041652A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  <w:b/>
              </w:rPr>
            </w:pP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52A" w:rsidRPr="00575235" w:rsidRDefault="0033740F" w:rsidP="0033740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Corporate Property Service Head </w:t>
            </w:r>
          </w:p>
        </w:tc>
      </w:tr>
      <w:tr w:rsidR="00F524C3" w:rsidRPr="00575235" w:rsidTr="00F524C3">
        <w:trPr>
          <w:cantSplit/>
          <w:trHeight w:val="44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24C3" w:rsidRDefault="00F524C3" w:rsidP="00F524C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Service area or department</w:t>
            </w:r>
          </w:p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24C3" w:rsidRDefault="0033740F" w:rsidP="0033740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Corporate Property </w:t>
            </w:r>
          </w:p>
        </w:tc>
      </w:tr>
      <w:tr w:rsidR="00F524C3" w:rsidRPr="00575235" w:rsidTr="00F524C3">
        <w:trPr>
          <w:cantSplit/>
          <w:trHeight w:val="480"/>
        </w:trPr>
        <w:tc>
          <w:tcPr>
            <w:tcW w:w="3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Telephone 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24C3" w:rsidRDefault="00F524C3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>01865 252551</w:t>
            </w:r>
          </w:p>
        </w:tc>
      </w:tr>
      <w:tr w:rsidR="0041652A" w:rsidRPr="00575235" w:rsidTr="00F524C3">
        <w:trPr>
          <w:cantSplit/>
          <w:trHeight w:val="396"/>
        </w:trPr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1652A" w:rsidRPr="00575235" w:rsidRDefault="0041652A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r w:rsidRPr="00575235">
              <w:rPr>
                <w:rFonts w:cs="Arial"/>
              </w:rPr>
              <w:t xml:space="preserve">e-mail 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652A" w:rsidRPr="00575235" w:rsidRDefault="006E2C4B" w:rsidP="00F524C3">
            <w:pPr>
              <w:tabs>
                <w:tab w:val="left" w:pos="8647"/>
              </w:tabs>
              <w:spacing w:after="0"/>
              <w:ind w:right="1076"/>
              <w:rPr>
                <w:rFonts w:cs="Arial"/>
              </w:rPr>
            </w:pPr>
            <w:hyperlink r:id="rId8" w:history="1">
              <w:r w:rsidR="0041652A" w:rsidRPr="005873B3">
                <w:rPr>
                  <w:rStyle w:val="Hyperlink"/>
                  <w:rFonts w:cs="Arial"/>
                </w:rPr>
                <w:t>jwinfield@oxford.gov.uk</w:t>
              </w:r>
            </w:hyperlink>
            <w:r w:rsidR="0041652A">
              <w:rPr>
                <w:rStyle w:val="Hyperlink"/>
                <w:rFonts w:cs="Arial"/>
                <w:color w:val="000000"/>
              </w:rPr>
              <w:t xml:space="preserve">  </w:t>
            </w:r>
          </w:p>
        </w:tc>
      </w:tr>
    </w:tbl>
    <w:p w:rsidR="00D81CEF" w:rsidRDefault="00D81CEF" w:rsidP="00F524C3">
      <w:pPr>
        <w:tabs>
          <w:tab w:val="left" w:pos="8647"/>
        </w:tabs>
        <w:spacing w:after="0"/>
        <w:ind w:right="1076"/>
        <w:rPr>
          <w:rFonts w:cs="Arial"/>
        </w:rPr>
      </w:pPr>
    </w:p>
    <w:p w:rsidR="00D81CEF" w:rsidRDefault="00D81CEF">
      <w:pPr>
        <w:spacing w:after="0"/>
        <w:rPr>
          <w:rFonts w:cs="Arial"/>
        </w:rPr>
      </w:pPr>
    </w:p>
    <w:sectPr w:rsidR="00D81CEF" w:rsidSect="00D81C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304" w:left="130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E2" w:rsidRDefault="003D28E2" w:rsidP="004A6D2F">
      <w:r>
        <w:separator/>
      </w:r>
    </w:p>
  </w:endnote>
  <w:endnote w:type="continuationSeparator" w:id="0">
    <w:p w:rsidR="003D28E2" w:rsidRDefault="003D28E2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4A6D2F">
    <w:pPr>
      <w:pStyle w:val="Footer"/>
    </w:pPr>
    <w:r>
      <w:t>Do not use a footer or page numbers.</w:t>
    </w:r>
  </w:p>
  <w:p w:rsidR="00707C98" w:rsidRDefault="00707C98" w:rsidP="004A6D2F">
    <w:pPr>
      <w:pStyle w:val="Footer"/>
    </w:pPr>
  </w:p>
  <w:p w:rsidR="00707C98" w:rsidRDefault="00707C98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10" w:rsidRDefault="00702F10">
    <w:pPr>
      <w:pStyle w:val="Footer"/>
      <w:jc w:val="right"/>
    </w:pPr>
  </w:p>
  <w:p w:rsidR="00702F10" w:rsidRDefault="00702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E2" w:rsidRDefault="003D28E2" w:rsidP="004A6D2F">
      <w:r>
        <w:separator/>
      </w:r>
    </w:p>
  </w:footnote>
  <w:footnote w:type="continuationSeparator" w:id="0">
    <w:p w:rsidR="003D28E2" w:rsidRDefault="003D28E2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EF" w:rsidRDefault="00D81CEF" w:rsidP="00D81CE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C98" w:rsidRDefault="00707C98" w:rsidP="00D5547E">
    <w:pPr>
      <w:pStyle w:val="Header"/>
      <w:jc w:val="right"/>
    </w:pPr>
    <w:r>
      <w:rPr>
        <w:noProof/>
      </w:rPr>
      <w:drawing>
        <wp:inline distT="0" distB="0" distL="0" distR="0" wp14:anchorId="0372C30F" wp14:editId="64B1C80D">
          <wp:extent cx="841375" cy="1116965"/>
          <wp:effectExtent l="0" t="0" r="0" b="6985"/>
          <wp:docPr id="3" name="Picture 3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4C3" w:rsidRDefault="00F524C3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DA0"/>
    <w:multiLevelType w:val="hybridMultilevel"/>
    <w:tmpl w:val="CEE22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E3847"/>
    <w:multiLevelType w:val="hybridMultilevel"/>
    <w:tmpl w:val="0B8A21DA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43B"/>
    <w:multiLevelType w:val="hybridMultilevel"/>
    <w:tmpl w:val="F1B67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F5D71"/>
    <w:multiLevelType w:val="hybridMultilevel"/>
    <w:tmpl w:val="789C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B2FA2"/>
    <w:multiLevelType w:val="hybridMultilevel"/>
    <w:tmpl w:val="4ACE1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474D"/>
    <w:multiLevelType w:val="hybridMultilevel"/>
    <w:tmpl w:val="6D061BB8"/>
    <w:lvl w:ilvl="0" w:tplc="2188A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9C700E"/>
    <w:multiLevelType w:val="hybridMultilevel"/>
    <w:tmpl w:val="5422EF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1F3A"/>
    <w:multiLevelType w:val="hybridMultilevel"/>
    <w:tmpl w:val="54BE8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319DD"/>
    <w:multiLevelType w:val="hybridMultilevel"/>
    <w:tmpl w:val="02EC6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852AD"/>
    <w:multiLevelType w:val="hybridMultilevel"/>
    <w:tmpl w:val="0DF26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437DD"/>
    <w:multiLevelType w:val="hybridMultilevel"/>
    <w:tmpl w:val="05E20304"/>
    <w:lvl w:ilvl="0" w:tplc="DACAF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3460"/>
    <w:multiLevelType w:val="hybridMultilevel"/>
    <w:tmpl w:val="5498AF04"/>
    <w:lvl w:ilvl="0" w:tplc="E3BC62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F3F38"/>
    <w:multiLevelType w:val="hybridMultilevel"/>
    <w:tmpl w:val="1F8CA2CE"/>
    <w:lvl w:ilvl="0" w:tplc="2188A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0865AB0"/>
    <w:multiLevelType w:val="hybridMultilevel"/>
    <w:tmpl w:val="D9EC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A8089F"/>
    <w:multiLevelType w:val="hybridMultilevel"/>
    <w:tmpl w:val="DC74F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A026D"/>
    <w:multiLevelType w:val="hybridMultilevel"/>
    <w:tmpl w:val="91A86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B90C56"/>
    <w:multiLevelType w:val="hybridMultilevel"/>
    <w:tmpl w:val="284AE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885640"/>
    <w:multiLevelType w:val="hybridMultilevel"/>
    <w:tmpl w:val="3CC82AD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00649B"/>
    <w:multiLevelType w:val="hybridMultilevel"/>
    <w:tmpl w:val="ABDE1052"/>
    <w:lvl w:ilvl="0" w:tplc="2188A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108E2"/>
    <w:multiLevelType w:val="hybridMultilevel"/>
    <w:tmpl w:val="77324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0B6F84"/>
    <w:multiLevelType w:val="multilevel"/>
    <w:tmpl w:val="0B8EC84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2DB35AFD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25" w15:restartNumberingAfterBreak="0">
    <w:nsid w:val="32633D89"/>
    <w:multiLevelType w:val="hybridMultilevel"/>
    <w:tmpl w:val="C6F43576"/>
    <w:lvl w:ilvl="0" w:tplc="DAC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A90201"/>
    <w:multiLevelType w:val="hybridMultilevel"/>
    <w:tmpl w:val="CFC44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45839"/>
    <w:multiLevelType w:val="hybridMultilevel"/>
    <w:tmpl w:val="14CC1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17398E"/>
    <w:multiLevelType w:val="hybridMultilevel"/>
    <w:tmpl w:val="76BE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0933F0"/>
    <w:multiLevelType w:val="hybridMultilevel"/>
    <w:tmpl w:val="1FC2B90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E7BBE"/>
    <w:multiLevelType w:val="hybridMultilevel"/>
    <w:tmpl w:val="A7027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65382"/>
    <w:multiLevelType w:val="hybridMultilevel"/>
    <w:tmpl w:val="C164D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F25ED2"/>
    <w:multiLevelType w:val="hybridMultilevel"/>
    <w:tmpl w:val="BB0C56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EB1AFC"/>
    <w:multiLevelType w:val="hybridMultilevel"/>
    <w:tmpl w:val="CD98E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4973C6"/>
    <w:multiLevelType w:val="multilevel"/>
    <w:tmpl w:val="81EA6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3A4559"/>
    <w:multiLevelType w:val="hybridMultilevel"/>
    <w:tmpl w:val="5CEE8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9F5069"/>
    <w:multiLevelType w:val="hybridMultilevel"/>
    <w:tmpl w:val="D51E8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F2B3C"/>
    <w:multiLevelType w:val="multilevel"/>
    <w:tmpl w:val="160292C2"/>
    <w:lvl w:ilvl="0">
      <w:start w:val="1"/>
      <w:numFmt w:val="decimal"/>
      <w:pStyle w:val="Numberedlist"/>
      <w:lvlText w:val="%1."/>
      <w:lvlJc w:val="left"/>
      <w:pPr>
        <w:ind w:left="-129" w:hanging="360"/>
      </w:pPr>
      <w:rPr>
        <w:rFonts w:ascii="Arial" w:hAnsi="Arial"/>
        <w:b/>
        <w:color w:val="000000"/>
        <w:sz w:val="24"/>
      </w:rPr>
    </w:lvl>
    <w:lvl w:ilvl="1">
      <w:start w:val="1"/>
      <w:numFmt w:val="decimal"/>
      <w:lvlText w:val="%2."/>
      <w:lvlJc w:val="left"/>
      <w:pPr>
        <w:ind w:left="5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11" w:hanging="180"/>
      </w:pPr>
    </w:lvl>
    <w:lvl w:ilvl="3">
      <w:start w:val="1"/>
      <w:numFmt w:val="decimal"/>
      <w:lvlText w:val="%4."/>
      <w:lvlJc w:val="left"/>
      <w:pPr>
        <w:ind w:left="2031" w:hanging="360"/>
      </w:pPr>
    </w:lvl>
    <w:lvl w:ilvl="4">
      <w:start w:val="1"/>
      <w:numFmt w:val="lowerLetter"/>
      <w:lvlText w:val="%5."/>
      <w:lvlJc w:val="left"/>
      <w:pPr>
        <w:ind w:left="2751" w:hanging="360"/>
      </w:pPr>
    </w:lvl>
    <w:lvl w:ilvl="5">
      <w:start w:val="1"/>
      <w:numFmt w:val="lowerRoman"/>
      <w:lvlText w:val="%6."/>
      <w:lvlJc w:val="right"/>
      <w:pPr>
        <w:ind w:left="3471" w:hanging="180"/>
      </w:pPr>
    </w:lvl>
    <w:lvl w:ilvl="6">
      <w:start w:val="1"/>
      <w:numFmt w:val="decimal"/>
      <w:lvlText w:val="%7."/>
      <w:lvlJc w:val="left"/>
      <w:pPr>
        <w:ind w:left="4191" w:hanging="360"/>
      </w:pPr>
    </w:lvl>
    <w:lvl w:ilvl="7">
      <w:start w:val="1"/>
      <w:numFmt w:val="lowerLetter"/>
      <w:lvlText w:val="%8."/>
      <w:lvlJc w:val="left"/>
      <w:pPr>
        <w:ind w:left="4911" w:hanging="360"/>
      </w:pPr>
    </w:lvl>
    <w:lvl w:ilvl="8">
      <w:start w:val="1"/>
      <w:numFmt w:val="lowerRoman"/>
      <w:lvlText w:val="%9."/>
      <w:lvlJc w:val="right"/>
      <w:pPr>
        <w:ind w:left="5631" w:hanging="180"/>
      </w:pPr>
    </w:lvl>
  </w:abstractNum>
  <w:abstractNum w:abstractNumId="38" w15:restartNumberingAfterBreak="0">
    <w:nsid w:val="73863F50"/>
    <w:multiLevelType w:val="hybridMultilevel"/>
    <w:tmpl w:val="04DA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D301B"/>
    <w:multiLevelType w:val="hybridMultilevel"/>
    <w:tmpl w:val="4DC2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232A7"/>
    <w:multiLevelType w:val="multilevel"/>
    <w:tmpl w:val="3A449B94"/>
    <w:lvl w:ilvl="0">
      <w:start w:val="1"/>
      <w:numFmt w:val="decimal"/>
      <w:lvlText w:val="%1.0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41" w15:restartNumberingAfterBreak="0">
    <w:nsid w:val="74E70134"/>
    <w:multiLevelType w:val="hybridMultilevel"/>
    <w:tmpl w:val="61462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CB13D5"/>
    <w:multiLevelType w:val="hybridMultilevel"/>
    <w:tmpl w:val="1898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365C6"/>
    <w:multiLevelType w:val="multilevel"/>
    <w:tmpl w:val="E67CE66C"/>
    <w:numStyleLink w:val="StyleNumberedLeft0cmHanging075cm"/>
  </w:abstractNum>
  <w:abstractNum w:abstractNumId="44" w15:restartNumberingAfterBreak="0">
    <w:nsid w:val="79DC3607"/>
    <w:multiLevelType w:val="hybridMultilevel"/>
    <w:tmpl w:val="93C44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1353DE"/>
    <w:multiLevelType w:val="hybridMultilevel"/>
    <w:tmpl w:val="5A88A6AE"/>
    <w:lvl w:ilvl="0" w:tplc="2188A6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B5D69"/>
    <w:multiLevelType w:val="hybridMultilevel"/>
    <w:tmpl w:val="E3829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52229"/>
    <w:multiLevelType w:val="hybridMultilevel"/>
    <w:tmpl w:val="575E0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725CB"/>
    <w:multiLevelType w:val="hybridMultilevel"/>
    <w:tmpl w:val="3934F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A01EC"/>
    <w:multiLevelType w:val="hybridMultilevel"/>
    <w:tmpl w:val="E0D28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3"/>
  </w:num>
  <w:num w:numId="3">
    <w:abstractNumId w:val="16"/>
  </w:num>
  <w:num w:numId="4">
    <w:abstractNumId w:val="3"/>
  </w:num>
  <w:num w:numId="5">
    <w:abstractNumId w:val="37"/>
  </w:num>
  <w:num w:numId="6">
    <w:abstractNumId w:val="24"/>
  </w:num>
  <w:num w:numId="7">
    <w:abstractNumId w:val="22"/>
  </w:num>
  <w:num w:numId="8">
    <w:abstractNumId w:val="47"/>
  </w:num>
  <w:num w:numId="9">
    <w:abstractNumId w:val="33"/>
  </w:num>
  <w:num w:numId="10">
    <w:abstractNumId w:val="19"/>
  </w:num>
  <w:num w:numId="11">
    <w:abstractNumId w:val="0"/>
  </w:num>
  <w:num w:numId="12">
    <w:abstractNumId w:val="35"/>
  </w:num>
  <w:num w:numId="13">
    <w:abstractNumId w:val="24"/>
    <w:lvlOverride w:ilvl="0">
      <w:startOverride w:val="1"/>
    </w:lvlOverride>
  </w:num>
  <w:num w:numId="14">
    <w:abstractNumId w:val="28"/>
  </w:num>
  <w:num w:numId="15">
    <w:abstractNumId w:val="49"/>
  </w:num>
  <w:num w:numId="16">
    <w:abstractNumId w:val="15"/>
  </w:num>
  <w:num w:numId="17">
    <w:abstractNumId w:val="39"/>
  </w:num>
  <w:num w:numId="18">
    <w:abstractNumId w:val="38"/>
  </w:num>
  <w:num w:numId="19">
    <w:abstractNumId w:val="10"/>
  </w:num>
  <w:num w:numId="20">
    <w:abstractNumId w:val="4"/>
  </w:num>
  <w:num w:numId="21">
    <w:abstractNumId w:val="36"/>
  </w:num>
  <w:num w:numId="22">
    <w:abstractNumId w:val="27"/>
  </w:num>
  <w:num w:numId="23">
    <w:abstractNumId w:val="5"/>
  </w:num>
  <w:num w:numId="24">
    <w:abstractNumId w:val="44"/>
  </w:num>
  <w:num w:numId="25">
    <w:abstractNumId w:val="42"/>
  </w:num>
  <w:num w:numId="26">
    <w:abstractNumId w:val="18"/>
  </w:num>
  <w:num w:numId="27">
    <w:abstractNumId w:val="31"/>
  </w:num>
  <w:num w:numId="28">
    <w:abstractNumId w:val="11"/>
  </w:num>
  <w:num w:numId="29">
    <w:abstractNumId w:val="41"/>
  </w:num>
  <w:num w:numId="30">
    <w:abstractNumId w:val="17"/>
  </w:num>
  <w:num w:numId="31">
    <w:abstractNumId w:val="21"/>
  </w:num>
  <w:num w:numId="32">
    <w:abstractNumId w:val="7"/>
  </w:num>
  <w:num w:numId="33">
    <w:abstractNumId w:val="25"/>
  </w:num>
  <w:num w:numId="34">
    <w:abstractNumId w:val="20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6"/>
  </w:num>
  <w:num w:numId="4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"/>
  </w:num>
  <w:num w:numId="45">
    <w:abstractNumId w:val="29"/>
  </w:num>
  <w:num w:numId="46">
    <w:abstractNumId w:val="30"/>
  </w:num>
  <w:num w:numId="47">
    <w:abstractNumId w:val="45"/>
  </w:num>
  <w:num w:numId="48">
    <w:abstractNumId w:val="14"/>
  </w:num>
  <w:num w:numId="49">
    <w:abstractNumId w:val="13"/>
  </w:num>
  <w:num w:numId="50">
    <w:abstractNumId w:val="32"/>
  </w:num>
  <w:num w:numId="51">
    <w:abstractNumId w:val="46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2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9"/>
    <w:rsid w:val="00000C94"/>
    <w:rsid w:val="0000393F"/>
    <w:rsid w:val="000113C9"/>
    <w:rsid w:val="000117D4"/>
    <w:rsid w:val="0001586E"/>
    <w:rsid w:val="00020C83"/>
    <w:rsid w:val="000268C8"/>
    <w:rsid w:val="000314D7"/>
    <w:rsid w:val="0003185A"/>
    <w:rsid w:val="00032003"/>
    <w:rsid w:val="00045F8B"/>
    <w:rsid w:val="00046D2B"/>
    <w:rsid w:val="00056263"/>
    <w:rsid w:val="00064D8A"/>
    <w:rsid w:val="00064F82"/>
    <w:rsid w:val="00066510"/>
    <w:rsid w:val="000667FD"/>
    <w:rsid w:val="0007094D"/>
    <w:rsid w:val="00072B72"/>
    <w:rsid w:val="00075CCD"/>
    <w:rsid w:val="00077523"/>
    <w:rsid w:val="00084A07"/>
    <w:rsid w:val="00092025"/>
    <w:rsid w:val="000947DC"/>
    <w:rsid w:val="000B1C69"/>
    <w:rsid w:val="000B2C57"/>
    <w:rsid w:val="000B371A"/>
    <w:rsid w:val="000C04B4"/>
    <w:rsid w:val="000C089F"/>
    <w:rsid w:val="000C3928"/>
    <w:rsid w:val="000C5E8E"/>
    <w:rsid w:val="000C7318"/>
    <w:rsid w:val="000D4345"/>
    <w:rsid w:val="000E1CFC"/>
    <w:rsid w:val="000E3620"/>
    <w:rsid w:val="000E4F40"/>
    <w:rsid w:val="000F417B"/>
    <w:rsid w:val="000F4481"/>
    <w:rsid w:val="000F4751"/>
    <w:rsid w:val="000F6C7B"/>
    <w:rsid w:val="00101AE2"/>
    <w:rsid w:val="0010524C"/>
    <w:rsid w:val="0010763E"/>
    <w:rsid w:val="00107E75"/>
    <w:rsid w:val="00111FB1"/>
    <w:rsid w:val="00113418"/>
    <w:rsid w:val="00114C3E"/>
    <w:rsid w:val="00115F26"/>
    <w:rsid w:val="00133E0C"/>
    <w:rsid w:val="001356F1"/>
    <w:rsid w:val="00135FB6"/>
    <w:rsid w:val="00136994"/>
    <w:rsid w:val="0014128E"/>
    <w:rsid w:val="00141C13"/>
    <w:rsid w:val="00146C4F"/>
    <w:rsid w:val="00151888"/>
    <w:rsid w:val="00156BFE"/>
    <w:rsid w:val="001606C2"/>
    <w:rsid w:val="00160901"/>
    <w:rsid w:val="00170A2D"/>
    <w:rsid w:val="00171D89"/>
    <w:rsid w:val="00175E59"/>
    <w:rsid w:val="001761CB"/>
    <w:rsid w:val="001808BC"/>
    <w:rsid w:val="00182B81"/>
    <w:rsid w:val="0018619D"/>
    <w:rsid w:val="00186258"/>
    <w:rsid w:val="00195B34"/>
    <w:rsid w:val="001A011E"/>
    <w:rsid w:val="001A066A"/>
    <w:rsid w:val="001A13E6"/>
    <w:rsid w:val="001A530C"/>
    <w:rsid w:val="001A5731"/>
    <w:rsid w:val="001B3EBB"/>
    <w:rsid w:val="001B42C3"/>
    <w:rsid w:val="001C3084"/>
    <w:rsid w:val="001C5D5E"/>
    <w:rsid w:val="001D4D6D"/>
    <w:rsid w:val="001D5A64"/>
    <w:rsid w:val="001D678D"/>
    <w:rsid w:val="001E03F8"/>
    <w:rsid w:val="001E1678"/>
    <w:rsid w:val="001E266B"/>
    <w:rsid w:val="001E3376"/>
    <w:rsid w:val="001F20DE"/>
    <w:rsid w:val="001F31D2"/>
    <w:rsid w:val="00203C5C"/>
    <w:rsid w:val="002069B3"/>
    <w:rsid w:val="002162B8"/>
    <w:rsid w:val="002171F4"/>
    <w:rsid w:val="002241ED"/>
    <w:rsid w:val="002329CF"/>
    <w:rsid w:val="00232F5B"/>
    <w:rsid w:val="00247C29"/>
    <w:rsid w:val="00260467"/>
    <w:rsid w:val="00262A9D"/>
    <w:rsid w:val="00263EA3"/>
    <w:rsid w:val="00264568"/>
    <w:rsid w:val="002738A2"/>
    <w:rsid w:val="00281AAF"/>
    <w:rsid w:val="00283B69"/>
    <w:rsid w:val="00284F85"/>
    <w:rsid w:val="00290915"/>
    <w:rsid w:val="002A100D"/>
    <w:rsid w:val="002A22E2"/>
    <w:rsid w:val="002A2D09"/>
    <w:rsid w:val="002A4510"/>
    <w:rsid w:val="002B12F2"/>
    <w:rsid w:val="002C64F7"/>
    <w:rsid w:val="002D053C"/>
    <w:rsid w:val="002E6689"/>
    <w:rsid w:val="002F41F2"/>
    <w:rsid w:val="00301BF3"/>
    <w:rsid w:val="0030208D"/>
    <w:rsid w:val="003035D9"/>
    <w:rsid w:val="003058CB"/>
    <w:rsid w:val="00307A24"/>
    <w:rsid w:val="003165D8"/>
    <w:rsid w:val="00323418"/>
    <w:rsid w:val="00325AA3"/>
    <w:rsid w:val="003357BF"/>
    <w:rsid w:val="0033740F"/>
    <w:rsid w:val="003464E1"/>
    <w:rsid w:val="00361C76"/>
    <w:rsid w:val="0036423D"/>
    <w:rsid w:val="00364FAD"/>
    <w:rsid w:val="0036738F"/>
    <w:rsid w:val="0036759C"/>
    <w:rsid w:val="00367AE5"/>
    <w:rsid w:val="00367D71"/>
    <w:rsid w:val="00370027"/>
    <w:rsid w:val="0037015A"/>
    <w:rsid w:val="00370487"/>
    <w:rsid w:val="00373BD7"/>
    <w:rsid w:val="00375BE2"/>
    <w:rsid w:val="0038150A"/>
    <w:rsid w:val="00383190"/>
    <w:rsid w:val="0039194E"/>
    <w:rsid w:val="0039357B"/>
    <w:rsid w:val="00395737"/>
    <w:rsid w:val="003A26FD"/>
    <w:rsid w:val="003A5955"/>
    <w:rsid w:val="003A76C8"/>
    <w:rsid w:val="003B0980"/>
    <w:rsid w:val="003B1712"/>
    <w:rsid w:val="003B6E75"/>
    <w:rsid w:val="003B7DA1"/>
    <w:rsid w:val="003C5012"/>
    <w:rsid w:val="003C5775"/>
    <w:rsid w:val="003D0379"/>
    <w:rsid w:val="003D1756"/>
    <w:rsid w:val="003D2574"/>
    <w:rsid w:val="003D28E2"/>
    <w:rsid w:val="003D4C59"/>
    <w:rsid w:val="003F4267"/>
    <w:rsid w:val="00404032"/>
    <w:rsid w:val="0040736F"/>
    <w:rsid w:val="00412C1F"/>
    <w:rsid w:val="0041439C"/>
    <w:rsid w:val="0041652A"/>
    <w:rsid w:val="0042030E"/>
    <w:rsid w:val="00420DB0"/>
    <w:rsid w:val="004211ED"/>
    <w:rsid w:val="00421CB2"/>
    <w:rsid w:val="004268B9"/>
    <w:rsid w:val="00433B96"/>
    <w:rsid w:val="004365F8"/>
    <w:rsid w:val="004440F1"/>
    <w:rsid w:val="004456DD"/>
    <w:rsid w:val="00446CDF"/>
    <w:rsid w:val="00450474"/>
    <w:rsid w:val="00452055"/>
    <w:rsid w:val="004521B7"/>
    <w:rsid w:val="004548E3"/>
    <w:rsid w:val="00457873"/>
    <w:rsid w:val="00462AB5"/>
    <w:rsid w:val="004653AD"/>
    <w:rsid w:val="00465EAF"/>
    <w:rsid w:val="004711FC"/>
    <w:rsid w:val="004738C5"/>
    <w:rsid w:val="00473F3E"/>
    <w:rsid w:val="00475860"/>
    <w:rsid w:val="00477BE1"/>
    <w:rsid w:val="004804B9"/>
    <w:rsid w:val="00484329"/>
    <w:rsid w:val="00487092"/>
    <w:rsid w:val="00491046"/>
    <w:rsid w:val="004A043B"/>
    <w:rsid w:val="004A27B5"/>
    <w:rsid w:val="004A2AC7"/>
    <w:rsid w:val="004A3E93"/>
    <w:rsid w:val="004A6D2F"/>
    <w:rsid w:val="004B1835"/>
    <w:rsid w:val="004C0C86"/>
    <w:rsid w:val="004C2887"/>
    <w:rsid w:val="004D2626"/>
    <w:rsid w:val="004D6E26"/>
    <w:rsid w:val="004D77D3"/>
    <w:rsid w:val="004E2959"/>
    <w:rsid w:val="004F20EF"/>
    <w:rsid w:val="004F58F7"/>
    <w:rsid w:val="004F7774"/>
    <w:rsid w:val="00502412"/>
    <w:rsid w:val="0050321C"/>
    <w:rsid w:val="00505EA4"/>
    <w:rsid w:val="00507FE0"/>
    <w:rsid w:val="00525F6A"/>
    <w:rsid w:val="005268C5"/>
    <w:rsid w:val="005427A0"/>
    <w:rsid w:val="0054712D"/>
    <w:rsid w:val="00547EF6"/>
    <w:rsid w:val="00550211"/>
    <w:rsid w:val="00552930"/>
    <w:rsid w:val="00554C9B"/>
    <w:rsid w:val="005570B5"/>
    <w:rsid w:val="00560AC5"/>
    <w:rsid w:val="00566E73"/>
    <w:rsid w:val="00567DDE"/>
    <w:rsid w:val="00567E18"/>
    <w:rsid w:val="0057130A"/>
    <w:rsid w:val="00574982"/>
    <w:rsid w:val="00575235"/>
    <w:rsid w:val="00575F5F"/>
    <w:rsid w:val="005807BA"/>
    <w:rsid w:val="00581805"/>
    <w:rsid w:val="00585F76"/>
    <w:rsid w:val="00591686"/>
    <w:rsid w:val="0059368E"/>
    <w:rsid w:val="005A10AD"/>
    <w:rsid w:val="005A1B43"/>
    <w:rsid w:val="005A34C6"/>
    <w:rsid w:val="005A34E4"/>
    <w:rsid w:val="005A60D1"/>
    <w:rsid w:val="005B17F2"/>
    <w:rsid w:val="005B195B"/>
    <w:rsid w:val="005B51E9"/>
    <w:rsid w:val="005B757B"/>
    <w:rsid w:val="005B7FB0"/>
    <w:rsid w:val="005C35A5"/>
    <w:rsid w:val="005C3B91"/>
    <w:rsid w:val="005C577C"/>
    <w:rsid w:val="005C7E85"/>
    <w:rsid w:val="005D0621"/>
    <w:rsid w:val="005D1E27"/>
    <w:rsid w:val="005D2A3E"/>
    <w:rsid w:val="005D6973"/>
    <w:rsid w:val="005E022E"/>
    <w:rsid w:val="005E38FD"/>
    <w:rsid w:val="005E4D5E"/>
    <w:rsid w:val="005E5215"/>
    <w:rsid w:val="005F3F9E"/>
    <w:rsid w:val="005F7F7E"/>
    <w:rsid w:val="00607D7C"/>
    <w:rsid w:val="00614693"/>
    <w:rsid w:val="00623C2F"/>
    <w:rsid w:val="00627066"/>
    <w:rsid w:val="00633578"/>
    <w:rsid w:val="00634AB9"/>
    <w:rsid w:val="00636D62"/>
    <w:rsid w:val="00637068"/>
    <w:rsid w:val="00640036"/>
    <w:rsid w:val="00645945"/>
    <w:rsid w:val="00645BA8"/>
    <w:rsid w:val="00650811"/>
    <w:rsid w:val="00656FDA"/>
    <w:rsid w:val="00661D3E"/>
    <w:rsid w:val="006628EA"/>
    <w:rsid w:val="00667551"/>
    <w:rsid w:val="0068312A"/>
    <w:rsid w:val="00692627"/>
    <w:rsid w:val="00693EC9"/>
    <w:rsid w:val="00694382"/>
    <w:rsid w:val="006951D2"/>
    <w:rsid w:val="0069627F"/>
    <w:rsid w:val="006969E7"/>
    <w:rsid w:val="006A3595"/>
    <w:rsid w:val="006A3643"/>
    <w:rsid w:val="006C2A29"/>
    <w:rsid w:val="006C64CF"/>
    <w:rsid w:val="006C6D5D"/>
    <w:rsid w:val="006D052F"/>
    <w:rsid w:val="006D17B1"/>
    <w:rsid w:val="006D4752"/>
    <w:rsid w:val="006D708A"/>
    <w:rsid w:val="006E14C1"/>
    <w:rsid w:val="006E2ADB"/>
    <w:rsid w:val="006E2C4B"/>
    <w:rsid w:val="006F0292"/>
    <w:rsid w:val="006F27FA"/>
    <w:rsid w:val="006F416B"/>
    <w:rsid w:val="006F519B"/>
    <w:rsid w:val="00702F10"/>
    <w:rsid w:val="0070374C"/>
    <w:rsid w:val="00707C98"/>
    <w:rsid w:val="00713675"/>
    <w:rsid w:val="00715823"/>
    <w:rsid w:val="00724962"/>
    <w:rsid w:val="00730749"/>
    <w:rsid w:val="007337DF"/>
    <w:rsid w:val="0073566C"/>
    <w:rsid w:val="007359CC"/>
    <w:rsid w:val="007367F6"/>
    <w:rsid w:val="00737B93"/>
    <w:rsid w:val="00737C85"/>
    <w:rsid w:val="00740B8D"/>
    <w:rsid w:val="007413BB"/>
    <w:rsid w:val="0074315C"/>
    <w:rsid w:val="00745BF0"/>
    <w:rsid w:val="00747E50"/>
    <w:rsid w:val="00750782"/>
    <w:rsid w:val="007615FE"/>
    <w:rsid w:val="0076335E"/>
    <w:rsid w:val="0076655C"/>
    <w:rsid w:val="00766E53"/>
    <w:rsid w:val="00772E55"/>
    <w:rsid w:val="007739F1"/>
    <w:rsid w:val="007742DC"/>
    <w:rsid w:val="00781DAC"/>
    <w:rsid w:val="007859F3"/>
    <w:rsid w:val="00785B28"/>
    <w:rsid w:val="00787226"/>
    <w:rsid w:val="00791437"/>
    <w:rsid w:val="007A2866"/>
    <w:rsid w:val="007A3B17"/>
    <w:rsid w:val="007A7DDC"/>
    <w:rsid w:val="007B01DB"/>
    <w:rsid w:val="007B0C2C"/>
    <w:rsid w:val="007B18DF"/>
    <w:rsid w:val="007B278E"/>
    <w:rsid w:val="007C0DE5"/>
    <w:rsid w:val="007C160C"/>
    <w:rsid w:val="007C365E"/>
    <w:rsid w:val="007C5C23"/>
    <w:rsid w:val="007E2A26"/>
    <w:rsid w:val="007E4CEC"/>
    <w:rsid w:val="007F2348"/>
    <w:rsid w:val="00801432"/>
    <w:rsid w:val="00803F07"/>
    <w:rsid w:val="008042E9"/>
    <w:rsid w:val="0080749A"/>
    <w:rsid w:val="0081127D"/>
    <w:rsid w:val="00821FB8"/>
    <w:rsid w:val="00822ACD"/>
    <w:rsid w:val="00840B10"/>
    <w:rsid w:val="0084453C"/>
    <w:rsid w:val="008512F7"/>
    <w:rsid w:val="00855C66"/>
    <w:rsid w:val="008562BD"/>
    <w:rsid w:val="00860ED9"/>
    <w:rsid w:val="00864603"/>
    <w:rsid w:val="0087159E"/>
    <w:rsid w:val="00871EE4"/>
    <w:rsid w:val="00880096"/>
    <w:rsid w:val="00884D1C"/>
    <w:rsid w:val="008942B1"/>
    <w:rsid w:val="00896566"/>
    <w:rsid w:val="008A286C"/>
    <w:rsid w:val="008B293F"/>
    <w:rsid w:val="008B593E"/>
    <w:rsid w:val="008B7371"/>
    <w:rsid w:val="008B7B7A"/>
    <w:rsid w:val="008C247C"/>
    <w:rsid w:val="008D10B0"/>
    <w:rsid w:val="008D11F4"/>
    <w:rsid w:val="008D3DDB"/>
    <w:rsid w:val="008E0377"/>
    <w:rsid w:val="008E78E1"/>
    <w:rsid w:val="008F261E"/>
    <w:rsid w:val="008F2CDD"/>
    <w:rsid w:val="008F573F"/>
    <w:rsid w:val="008F70A7"/>
    <w:rsid w:val="008F7CC4"/>
    <w:rsid w:val="009034EC"/>
    <w:rsid w:val="00907C06"/>
    <w:rsid w:val="00922669"/>
    <w:rsid w:val="00927573"/>
    <w:rsid w:val="0093067A"/>
    <w:rsid w:val="009347AE"/>
    <w:rsid w:val="00941C60"/>
    <w:rsid w:val="00941FD1"/>
    <w:rsid w:val="00944CB4"/>
    <w:rsid w:val="009467AC"/>
    <w:rsid w:val="009552C0"/>
    <w:rsid w:val="00955C90"/>
    <w:rsid w:val="00962C1E"/>
    <w:rsid w:val="00963593"/>
    <w:rsid w:val="00966D42"/>
    <w:rsid w:val="00970FD1"/>
    <w:rsid w:val="00971689"/>
    <w:rsid w:val="00973E90"/>
    <w:rsid w:val="00975B07"/>
    <w:rsid w:val="00980B4A"/>
    <w:rsid w:val="009838F7"/>
    <w:rsid w:val="0098546B"/>
    <w:rsid w:val="009A5C48"/>
    <w:rsid w:val="009A6A14"/>
    <w:rsid w:val="009A76D0"/>
    <w:rsid w:val="009B3AF0"/>
    <w:rsid w:val="009E3D0A"/>
    <w:rsid w:val="009E51FC"/>
    <w:rsid w:val="009F1D28"/>
    <w:rsid w:val="009F2B5F"/>
    <w:rsid w:val="009F3678"/>
    <w:rsid w:val="009F7618"/>
    <w:rsid w:val="00A0266C"/>
    <w:rsid w:val="00A04D23"/>
    <w:rsid w:val="00A06766"/>
    <w:rsid w:val="00A0771E"/>
    <w:rsid w:val="00A10491"/>
    <w:rsid w:val="00A10FD4"/>
    <w:rsid w:val="00A12CB8"/>
    <w:rsid w:val="00A130EB"/>
    <w:rsid w:val="00A13765"/>
    <w:rsid w:val="00A16C70"/>
    <w:rsid w:val="00A21B12"/>
    <w:rsid w:val="00A232EB"/>
    <w:rsid w:val="00A23F80"/>
    <w:rsid w:val="00A25E7D"/>
    <w:rsid w:val="00A3024F"/>
    <w:rsid w:val="00A37A61"/>
    <w:rsid w:val="00A4234D"/>
    <w:rsid w:val="00A423BF"/>
    <w:rsid w:val="00A464C4"/>
    <w:rsid w:val="00A46E98"/>
    <w:rsid w:val="00A6352B"/>
    <w:rsid w:val="00A6491A"/>
    <w:rsid w:val="00A701B5"/>
    <w:rsid w:val="00A714BB"/>
    <w:rsid w:val="00A7466F"/>
    <w:rsid w:val="00A77147"/>
    <w:rsid w:val="00A810FC"/>
    <w:rsid w:val="00A84706"/>
    <w:rsid w:val="00A84925"/>
    <w:rsid w:val="00A9198A"/>
    <w:rsid w:val="00A92A82"/>
    <w:rsid w:val="00A92D8F"/>
    <w:rsid w:val="00A955E7"/>
    <w:rsid w:val="00A97094"/>
    <w:rsid w:val="00AA3C4B"/>
    <w:rsid w:val="00AB2988"/>
    <w:rsid w:val="00AB4DB4"/>
    <w:rsid w:val="00AB5546"/>
    <w:rsid w:val="00AB5D12"/>
    <w:rsid w:val="00AB7999"/>
    <w:rsid w:val="00AC3EAA"/>
    <w:rsid w:val="00AD182A"/>
    <w:rsid w:val="00AD3292"/>
    <w:rsid w:val="00AD640A"/>
    <w:rsid w:val="00AD651C"/>
    <w:rsid w:val="00AD78FD"/>
    <w:rsid w:val="00AE6397"/>
    <w:rsid w:val="00AE7AF0"/>
    <w:rsid w:val="00AF1F30"/>
    <w:rsid w:val="00AF5B39"/>
    <w:rsid w:val="00AF62B4"/>
    <w:rsid w:val="00B02023"/>
    <w:rsid w:val="00B044C6"/>
    <w:rsid w:val="00B1504F"/>
    <w:rsid w:val="00B316F4"/>
    <w:rsid w:val="00B31F0C"/>
    <w:rsid w:val="00B3365D"/>
    <w:rsid w:val="00B350A9"/>
    <w:rsid w:val="00B35A1F"/>
    <w:rsid w:val="00B500CA"/>
    <w:rsid w:val="00B53D92"/>
    <w:rsid w:val="00B61BAC"/>
    <w:rsid w:val="00B620EE"/>
    <w:rsid w:val="00B72DE8"/>
    <w:rsid w:val="00B86314"/>
    <w:rsid w:val="00B868E6"/>
    <w:rsid w:val="00BA1C2E"/>
    <w:rsid w:val="00BA412F"/>
    <w:rsid w:val="00BA453E"/>
    <w:rsid w:val="00BB5DBA"/>
    <w:rsid w:val="00BC200B"/>
    <w:rsid w:val="00BC2969"/>
    <w:rsid w:val="00BC4756"/>
    <w:rsid w:val="00BC69A4"/>
    <w:rsid w:val="00BC6E74"/>
    <w:rsid w:val="00BD0A36"/>
    <w:rsid w:val="00BD1A6B"/>
    <w:rsid w:val="00BE0680"/>
    <w:rsid w:val="00BE2DA6"/>
    <w:rsid w:val="00BE305F"/>
    <w:rsid w:val="00BE36E5"/>
    <w:rsid w:val="00BE62B5"/>
    <w:rsid w:val="00BE7BA3"/>
    <w:rsid w:val="00BF5682"/>
    <w:rsid w:val="00BF6E15"/>
    <w:rsid w:val="00BF7B09"/>
    <w:rsid w:val="00C02439"/>
    <w:rsid w:val="00C054E1"/>
    <w:rsid w:val="00C063D2"/>
    <w:rsid w:val="00C0652D"/>
    <w:rsid w:val="00C1575B"/>
    <w:rsid w:val="00C20A95"/>
    <w:rsid w:val="00C217FB"/>
    <w:rsid w:val="00C2692F"/>
    <w:rsid w:val="00C3207C"/>
    <w:rsid w:val="00C348AE"/>
    <w:rsid w:val="00C35C8E"/>
    <w:rsid w:val="00C400E1"/>
    <w:rsid w:val="00C40259"/>
    <w:rsid w:val="00C40B11"/>
    <w:rsid w:val="00C41187"/>
    <w:rsid w:val="00C44B54"/>
    <w:rsid w:val="00C53BE7"/>
    <w:rsid w:val="00C63BC2"/>
    <w:rsid w:val="00C63C31"/>
    <w:rsid w:val="00C7349D"/>
    <w:rsid w:val="00C757A0"/>
    <w:rsid w:val="00C760DE"/>
    <w:rsid w:val="00C82630"/>
    <w:rsid w:val="00C82AC0"/>
    <w:rsid w:val="00C85B4E"/>
    <w:rsid w:val="00C905BB"/>
    <w:rsid w:val="00C907F7"/>
    <w:rsid w:val="00C92729"/>
    <w:rsid w:val="00CA2103"/>
    <w:rsid w:val="00CA78B8"/>
    <w:rsid w:val="00CB6B99"/>
    <w:rsid w:val="00CC68B0"/>
    <w:rsid w:val="00CD6438"/>
    <w:rsid w:val="00CE4C87"/>
    <w:rsid w:val="00CE544A"/>
    <w:rsid w:val="00CF2861"/>
    <w:rsid w:val="00D0204E"/>
    <w:rsid w:val="00D04CB0"/>
    <w:rsid w:val="00D11141"/>
    <w:rsid w:val="00D11E1C"/>
    <w:rsid w:val="00D12FA3"/>
    <w:rsid w:val="00D160B0"/>
    <w:rsid w:val="00D177AB"/>
    <w:rsid w:val="00D17F94"/>
    <w:rsid w:val="00D20A1A"/>
    <w:rsid w:val="00D223FC"/>
    <w:rsid w:val="00D23D3A"/>
    <w:rsid w:val="00D26D1E"/>
    <w:rsid w:val="00D27868"/>
    <w:rsid w:val="00D460CD"/>
    <w:rsid w:val="00D474CF"/>
    <w:rsid w:val="00D50A9C"/>
    <w:rsid w:val="00D5547E"/>
    <w:rsid w:val="00D6495D"/>
    <w:rsid w:val="00D664D2"/>
    <w:rsid w:val="00D777C2"/>
    <w:rsid w:val="00D81CEF"/>
    <w:rsid w:val="00D843C3"/>
    <w:rsid w:val="00D869A1"/>
    <w:rsid w:val="00D91DD2"/>
    <w:rsid w:val="00D92117"/>
    <w:rsid w:val="00D92DD4"/>
    <w:rsid w:val="00D938EC"/>
    <w:rsid w:val="00D94D96"/>
    <w:rsid w:val="00DA3E3D"/>
    <w:rsid w:val="00DA413F"/>
    <w:rsid w:val="00DA4584"/>
    <w:rsid w:val="00DA614B"/>
    <w:rsid w:val="00DB1B80"/>
    <w:rsid w:val="00DB27EA"/>
    <w:rsid w:val="00DB3586"/>
    <w:rsid w:val="00DB405A"/>
    <w:rsid w:val="00DB773D"/>
    <w:rsid w:val="00DC2E03"/>
    <w:rsid w:val="00DC3060"/>
    <w:rsid w:val="00DC5214"/>
    <w:rsid w:val="00DC61EC"/>
    <w:rsid w:val="00DC6D17"/>
    <w:rsid w:val="00DD45BC"/>
    <w:rsid w:val="00DE0FB2"/>
    <w:rsid w:val="00DE12F5"/>
    <w:rsid w:val="00DF093E"/>
    <w:rsid w:val="00E01F42"/>
    <w:rsid w:val="00E13656"/>
    <w:rsid w:val="00E14D46"/>
    <w:rsid w:val="00E17C83"/>
    <w:rsid w:val="00E206D6"/>
    <w:rsid w:val="00E21747"/>
    <w:rsid w:val="00E256BE"/>
    <w:rsid w:val="00E30BB3"/>
    <w:rsid w:val="00E30EF2"/>
    <w:rsid w:val="00E3318B"/>
    <w:rsid w:val="00E3366E"/>
    <w:rsid w:val="00E34794"/>
    <w:rsid w:val="00E37600"/>
    <w:rsid w:val="00E52086"/>
    <w:rsid w:val="00E543A6"/>
    <w:rsid w:val="00E60479"/>
    <w:rsid w:val="00E61D73"/>
    <w:rsid w:val="00E66993"/>
    <w:rsid w:val="00E73684"/>
    <w:rsid w:val="00E818D6"/>
    <w:rsid w:val="00E87F7A"/>
    <w:rsid w:val="00E96BD7"/>
    <w:rsid w:val="00EA0DB1"/>
    <w:rsid w:val="00EA0EE9"/>
    <w:rsid w:val="00EA1336"/>
    <w:rsid w:val="00EA29B5"/>
    <w:rsid w:val="00EB5425"/>
    <w:rsid w:val="00EB5B71"/>
    <w:rsid w:val="00EB7D34"/>
    <w:rsid w:val="00ED52CA"/>
    <w:rsid w:val="00ED5860"/>
    <w:rsid w:val="00EE1528"/>
    <w:rsid w:val="00EE35C9"/>
    <w:rsid w:val="00EE36FD"/>
    <w:rsid w:val="00EF43CD"/>
    <w:rsid w:val="00F03E88"/>
    <w:rsid w:val="00F05ECA"/>
    <w:rsid w:val="00F0637E"/>
    <w:rsid w:val="00F11964"/>
    <w:rsid w:val="00F12BCD"/>
    <w:rsid w:val="00F13EB5"/>
    <w:rsid w:val="00F229B8"/>
    <w:rsid w:val="00F3566E"/>
    <w:rsid w:val="00F375FB"/>
    <w:rsid w:val="00F41AC1"/>
    <w:rsid w:val="00F4367A"/>
    <w:rsid w:val="00F445B1"/>
    <w:rsid w:val="00F45CD4"/>
    <w:rsid w:val="00F524C3"/>
    <w:rsid w:val="00F537FC"/>
    <w:rsid w:val="00F544BC"/>
    <w:rsid w:val="00F669C6"/>
    <w:rsid w:val="00F66DCA"/>
    <w:rsid w:val="00F71CB8"/>
    <w:rsid w:val="00F73D39"/>
    <w:rsid w:val="00F74F53"/>
    <w:rsid w:val="00F7606D"/>
    <w:rsid w:val="00F81670"/>
    <w:rsid w:val="00F82024"/>
    <w:rsid w:val="00F8225B"/>
    <w:rsid w:val="00F937BE"/>
    <w:rsid w:val="00F95BC9"/>
    <w:rsid w:val="00F972F7"/>
    <w:rsid w:val="00F979EC"/>
    <w:rsid w:val="00FA165B"/>
    <w:rsid w:val="00FA3091"/>
    <w:rsid w:val="00FA624C"/>
    <w:rsid w:val="00FB2B61"/>
    <w:rsid w:val="00FB6C5E"/>
    <w:rsid w:val="00FB7646"/>
    <w:rsid w:val="00FB783B"/>
    <w:rsid w:val="00FB7F38"/>
    <w:rsid w:val="00FC14FA"/>
    <w:rsid w:val="00FC269F"/>
    <w:rsid w:val="00FC29CC"/>
    <w:rsid w:val="00FD0FAC"/>
    <w:rsid w:val="00FD0FE4"/>
    <w:rsid w:val="00FD1DFA"/>
    <w:rsid w:val="00FD2AD3"/>
    <w:rsid w:val="00FD48C9"/>
    <w:rsid w:val="00FD4966"/>
    <w:rsid w:val="00FE0854"/>
    <w:rsid w:val="00FE1DFA"/>
    <w:rsid w:val="00FE2377"/>
    <w:rsid w:val="00FE4EB1"/>
    <w:rsid w:val="00FE57DC"/>
    <w:rsid w:val="00FE7376"/>
    <w:rsid w:val="00FE7D8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E69FED1-D55B-4426-846D-9944FF5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82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92729"/>
    <w:rPr>
      <w:i/>
      <w:iCs/>
    </w:rPr>
  </w:style>
  <w:style w:type="table" w:customStyle="1" w:styleId="TableGrid1">
    <w:name w:val="Table Grid1"/>
    <w:basedOn w:val="TableNormal"/>
    <w:next w:val="TableGrid"/>
    <w:rsid w:val="00FB7F38"/>
    <w:rPr>
      <w:rFonts w:eastAsiaTheme="minorHAns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B1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702F10"/>
    <w:rPr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nfield@oxford.gov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1F74-B1C2-4DB0-8618-A84A93AA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E3B4BD7C.dotm</Template>
  <TotalTime>2</TotalTime>
  <Pages>3</Pages>
  <Words>668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cphythian</dc:creator>
  <cp:lastModifiedBy>THOMPSON Jennifer</cp:lastModifiedBy>
  <cp:revision>4</cp:revision>
  <cp:lastPrinted>2019-08-28T11:12:00Z</cp:lastPrinted>
  <dcterms:created xsi:type="dcterms:W3CDTF">2021-07-13T15:27:00Z</dcterms:created>
  <dcterms:modified xsi:type="dcterms:W3CDTF">2021-07-15T19:48:00Z</dcterms:modified>
</cp:coreProperties>
</file>